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AC.2018.0231 vom 29. April 2020</w:t>
      </w:r>
    </w:p>
    <w:p>
      <w:r>
        <w:t>VD Tribunal cantonal, 2020-04-29, FR</w:t>
      </w:r>
    </w:p>
    <w:p>
      <w:r>
        <w:rPr>
          <w:b/>
        </w:rPr>
        <w:t xml:space="preserve">Quelle: </w:t>
      </w:r>
      <w:r>
        <w:t>https://mcp.opencaselaw.ch/entscheid/vd_omni_AC.2018.0231</w:t>
      </w:r>
    </w:p>
    <w:p>
      <w:r>
        <w:t>FR: VD_OMNI AC.2018.0231 du 29 avril 2020</w:t>
      </w:r>
    </w:p>
    <w:p>
      <w:r>
        <w:t>IT: VD_OMNI AC.2018.0231 del 29 aprile 2020</w:t>
      </w:r>
    </w:p>
    <w:p>
      <w:pPr>
        <w:pStyle w:val="Heading2"/>
      </w:pPr>
      <w:r>
        <w:t>Regeste</w:t>
      </w:r>
    </w:p>
    <w:p>
      <w:r>
        <w:t>A.________/Direction générale de l'environnement, Municipalité de Buchillon, B.________, C.________ | Procédure de constatation de la nature forestière mise en oeuvre à la demande d'un Juge de Paix, à la suite d'une proposition formulée par une des parties au litige civil acceptée par l'autre partie. Recours contre la décision de constatation de la nature forestière. Litige portant principalement sur le statut d'une "bande herbeuse" d'environ 5 m de large sur 20 m de long séparée de la forêt par une clôture. Vision locale ayant permis de constater la présence d'arbres forestiers dans la bande herbeuse litigieuse, arbres que l'on retrouve également de l'autre côté de la clôture. Constat que, si on déplace la clôture sur la limite de la forêt telle que fixée par la décision attaquée et si le secteur n'est plus entretenu de manière intensive, la forêt va rapidement s'étendre dans le secteur litigieux. Cette forêt reconstituée aura des fonctions paysagères et pourra servir de refuge pour la faune et de liaison avec le lac (consid. 2). Recours rejeté en tant qu'il concerne la délimitation de la forêt. Les frais de la procédure de constatation de la nature forestière doivent être partagés à part égale entre les propriétaires concernés. Recours admis sur ce point (consid. 3). Recours au Tribunal fédéral rejeté par arrêt du 29 avril 2020 (1C_228/2019).</w:t>
      </w:r>
    </w:p>
    <w:p>
      <w:pPr>
        <w:pStyle w:val="Heading2"/>
      </w:pPr>
      <w:r>
        <w:t>Erwägungen</w:t>
      </w:r>
    </w:p>
    <w:p>
      <w:r>
        <w:rPr>
          <w:b/>
        </w:rPr>
        <w:t>E. 1</w:t>
      </w:r>
    </w:p>
    <w:p>
      <w:r>
        <w:t>Le recourant soutient que, avant le dépôt de son recours, il n'a pas eu accès à toutes les pièces sur lesquelles l'autorité intimée s'est fondée pour rendre la décision attaquée, notamment des ortho-photos. Certaines pièces ne lui auraient en outre été remises que quelques jours avant l'échéance du délai de recours. Tel que garanti à l'art. 29 al. 2 de la Constitution fédérale de la Confédération suisse du 18 avril 1999 (Cst.; RS 101), le droit d'être entendu implique notamment le droit de prendre connaissance du dossier (ATF 136 I 265 consid. 3.2) – qui s'étend à toutes les pièces décisives (ATF 132 II 485 consid. 3.2; 121 I 225 consid. 2a) – et le droit de participer à l'administration des preuves essentielles (ATF 135 I 279 consid. 2.3; 133 I 270 consid. 3.1). La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En l'occurrence, le Tribunal cantonal dispose d'un plein pouvoir d'examen en fait et en droit. Dès lors que le dossier complet a été produit devant le tribunal de céans, avec notamment toutes les ortho-photos sur lesquelles la DGE s'est fondée pour se prononcer sur l'évolution de la forêt à l'endroit litigieux, et que les recourants ont eu la possibilité de se déterminer par écrit sur ces nouvelles pièces puis oralement lors de l'audience du 18 janvier 2019, il y a lieu de constater qu'une éventuelle violation de leur droit d'être entendu a été réparée dans le cadre de la procédure devant le Tribunal cantonal. Ce premier grief des recourants doit par conséquent être écarté.</w:t>
      </w:r>
    </w:p>
    <w:p>
      <w:r>
        <w:rPr>
          <w:b/>
        </w:rPr>
        <w:t>E. 2</w:t>
      </w:r>
    </w:p>
    <w:p>
      <w:r>
        <w:t>al. 4 LFo). Ces critères sont établis dans le droit cantonal vaudois à l'art.</w:t>
      </w:r>
    </w:p>
    <w:p>
      <w:r>
        <w:rPr>
          <w:b/>
        </w:rPr>
        <w:t>E. 4</w:t>
      </w:r>
    </w:p>
    <w:p>
      <w:r>
        <w:t>Il résulte des considérants que la décision attaquée doit être confirmée en tant qu'elle concerne la constatation de la nature forestière sur les parcelles n os 321 et 360. Elle doit au surplus être réformée en ce qui concerne la prise en charge des frais, en ce sens que ceux-ci doivent être partagés à part égale entre le propriétaire de la parcelle n° 321 et les propriétaires de la parcelle n° 360. Vu le sort du recours, les frais de la cause sont principalement mis à la charge du recourant, qui succombe sur la question principale (art. 49 al. 1 LPA-VD). Une partie des frais est mise à la charge de C.________ et B.________, le solde étant laissé à la charge de l'Etat. Le recourant versera en outre de dépens, légèrement réduits, à C.________ et B.________, qui ont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