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AC.2018.0211 vom 1. April 2019</w:t>
      </w:r>
    </w:p>
    <w:p>
      <w:r>
        <w:t>VD Tribunal cantonal, 2019-04-01, FR</w:t>
      </w:r>
    </w:p>
    <w:p>
      <w:r>
        <w:rPr>
          <w:b/>
        </w:rPr>
        <w:t xml:space="preserve">Quelle: </w:t>
      </w:r>
      <w:r>
        <w:t>https://mcp.opencaselaw.ch/entscheid/vd_omni_AC.2018.0211</w:t>
      </w:r>
    </w:p>
    <w:p>
      <w:r>
        <w:t>FR: VD_OMNI AC.2018.0211 du 1 avril 2019</w:t>
      </w:r>
    </w:p>
    <w:p>
      <w:r>
        <w:t>IT: VD_OMNI AC.2018.0211 del 1 aprile 2019</w:t>
      </w:r>
    </w:p>
    <w:p>
      <w:pPr>
        <w:pStyle w:val="Heading2"/>
      </w:pPr>
      <w:r>
        <w:t>Regeste</w:t>
      </w:r>
    </w:p>
    <w:p>
      <w:r>
        <w:t>A.________ /Municipalité de Valeyres-s/Rances, Département du territoire et de l’environnement (DTE) | Rejet du recours dirigé contre la décision refusant un permis de construire en raison de l'existence d'une zone réservée. L'art. 79 LATC fait obstacle à la délivrance d'un permis de construire lorsque la décision à ce sujet est prise après la mise à l'enquête publique et l'approbation d'une zone réservée cantonale qui vise à empêcher toute construction du genre de celle qui est projetée dans le secteur envisagé. Lorsque le délai de 40 jours imparti par l'art. 114 al. 1 LATC à la municipalité dès la demande de permis de construire pour se déterminer enl'accordant ou en le refusant est dépassé, le recourant peut en se fondant sur l'art. 114 al. 4 LATC exiger de la municipalité qu'elle statue. Ne le faisant pas, le recourant ne saurait se prévaloir du dépassement du délai pour obtenir l'annulation de la décision statuant sur le sort du permis de construire.</w:t>
      </w:r>
    </w:p>
    <w:p>
      <w:pPr>
        <w:pStyle w:val="Heading2"/>
      </w:pPr>
      <w:r>
        <w:t>Erwägungen</w:t>
      </w:r>
    </w:p>
    <w:p>
      <w:r>
        <w:rPr>
          <w:b/>
        </w:rPr>
        <w:t>E. 1</w:t>
      </w:r>
    </w:p>
    <w:p>
      <w:r>
        <w:t>Le recourant demande une inspection locale pour pouvoir démontrer le bien-fondé de ses arguments. Une telle mesure d'instruction n'est cependant pas nécessaire pour trancher le sort du recours. Par conséquent, il ne sera pas fait suite à cette réquisition.</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 recourant se plaint encore du fait que 15 mois se sont écoulés entre la mise à l'enquête de la zone réservée cantonale (du 22 février au 23 mars 2017) et le refus du permis de construire (le 23 mai 2018), alors qu'en application des art. 77 al. 4 et 5 aLATC, une procédure de planification ne pourrait, selon lui, bloquer un projet que durant 13 mois. Lorsque, comme en l'espèce, la demande de permis de construire est mise à l'enquête publique, la municipalité est tenue de se déterminer en accordant ou en refusant le permis de construire dans les quarante jours dès le dépôt de la demande de permis (cf. art. 114 al. 1 LATC). Passé ce délai et sur requête écrite de l’instant, le département impartit un ultime délai de dix jours à la municipalité pour se déterminer; à défaut, il statue à sa place (art. 114 al. 4 LATC).  En l'espèce, le délai de 40 jours dès le dépôt de la demande de permis (qui remonte au 14 octobre 2016) a été largement dépassé lorsque la décision refusant le permis de construire a été rendue (le 23 mai 2018). Le recourant aurait pu, en se fondant, sur l'art. 114 al. 4 LATC, exiger de la municipalité qu'elle statue, ce qu'il n'a pas fait. Il ne saurait s'en prévaloir pour obtenir l'annulation de la décision attaquée (cf. arrêt AC.2011.0190 du 8 mars 2012 consid. 1b).</w:t>
      </w:r>
    </w:p>
    <w:p>
      <w:r>
        <w:rPr>
          <w:b/>
        </w:rPr>
        <w:t>E. 6</w:t>
      </w:r>
    </w:p>
    <w:p>
      <w:r>
        <w:t>Mal fondé, le recours doit être rejeté et la décision attaquée confirmée. Un émolument, réduit pour tenir compte de la simplicité de la procédure, est mis à la charge du recourant, qui succombe (art. 49 al. 1 LPA-VD). La municipalité, qui a procédé par l'intermédiaire d'un avocat, a droit à une indemnité à titre des dépens, qui sera mise à la charge du recourant (art. 55 al. 1 LPA-VD) pour un montant réduit pour tenir compte du fait que que le recourant pouvait se sentir soutenu par cette autorité au moment du dépôt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