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AC.2018.0199 vom 5. August 2019</w:t>
      </w:r>
    </w:p>
    <w:p>
      <w:r>
        <w:t>VD Tribunal cantonal, 2019-08-05, FR</w:t>
      </w:r>
    </w:p>
    <w:p>
      <w:r>
        <w:rPr>
          <w:b/>
        </w:rPr>
        <w:t xml:space="preserve">Quelle: </w:t>
      </w:r>
      <w:r>
        <w:t>https://mcp.opencaselaw.ch/entscheid/vd_omni_AC.2018.0199</w:t>
      </w:r>
    </w:p>
    <w:p>
      <w:r>
        <w:t>FR: VD_OMNI AC.2018.0199 du 5 août 2019</w:t>
      </w:r>
    </w:p>
    <w:p>
      <w:r>
        <w:t>IT: VD_OMNI AC.2018.0199 del 5 agosto 2019</w:t>
      </w:r>
    </w:p>
    <w:p>
      <w:pPr>
        <w:pStyle w:val="Heading2"/>
      </w:pPr>
      <w:r>
        <w:t>Regeste</w:t>
      </w:r>
    </w:p>
    <w:p>
      <w:r>
        <w:t>A.________, B.________, C.________, D.________, E.________, F.________/Municipalité de Morges, G.________, H.________ | Recours contre l'octroi d'un permis de construire deux villas avec quatre places de parc rejeté. En vertu du droit cantonal et de la jurisprudence, les communes sont compétentes pour préciser dans leur règlement communal quels sont les éléments à prendre en considération dans la surface bâtie. Dans le cas particulier, c'est à juste titre que la municipalité n'a pas pris en considération les terrasses du rez-de-chausée, surplombées en partie par les balcons de l'étage supérieur, dans le calcul des surfaces bâties et des distances aux limites. Il en va de même, dans le projet en cause, des escaliers métalliques extérieurs qui permettent uniquement d'accéder au jardin depuis les balcons du premier étage et constituent des voies d'accès d'appoint et non des cheminements principaux dans chacune des villas, soit des aménagements extérieurs qui peuvent prendre place dans les "espaces de non-bâtir". Le garage a fait l'objet de plans modifiés après la mise à l'enquête publique et les nouvelles dimensions respectent les dispositions réglementaires communales, la dépendance étant contiguë au bâtiment principal sans accès direct de la dépendance audit bâtiment. Enfin, le permis de construire mentionne expressément que les locaux non-chauffés caves et galetas ne pourront pas être utilisés pour du logement ou de l'activité professionnelle; il appartiendra à la municipalité de s'assurer que ces exigences ont bien été respectées au moment de la délivrance du permis d'habiter, mais ce grief ne saurait être retenu au stade de l'examen du recours par la CDAP. Recours au TF admis: l'arrêt attaqué est annulé et la cause renvoyée à la CDAP pour nouvelle décision (1C_461/2019 du 16 mars 2020).</w:t>
      </w:r>
    </w:p>
    <w:p>
      <w:pPr>
        <w:pStyle w:val="Heading2"/>
      </w:pPr>
      <w:r>
        <w:t>Erwägungen</w:t>
      </w:r>
    </w:p>
    <w:p>
      <w:r>
        <w:rPr>
          <w:b/>
        </w:rPr>
        <w:t>E. 1</w:t>
      </w:r>
    </w:p>
    <w:p>
      <w:r>
        <w:t>a) La décision par laquelle une municipalité lève les oppositions à un projet de construction et délivre le permis de construire peut faire l'objet d'un recours de droit administratif au sens des art. 92 ss de la loi du 28 octobre 2008 sur la procédure administrative (LPA-VD; BLV 173.36). Le recours a été déposé en temps utile (art. 95 LPA-VD) et respecte les exigences légales de motivation (art. 79 LPA-VD par renvoi de l'art. 99 LPA-VD). b) S'agissant de la qualité pour recourir, celle-ci est définie à l'art. 75 LPA-VD (par renvoi de l'art. 99 LPA-VD) : elle est reconnue à toute personne physique ou morale ayant pris part à la procédure devant l'autorité précédente, qui est atteinte par la décision et qui dispose d'un intérêt digne de protection à ce qu'elle soit annulée ou modifiée (al. 1 let. a). L'intérêt dont dépend la qualité pour agir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133 II 400 consid. 2.4.2 p. 406; 133 V 239 consid. 6.2 p. 242; 131 V 298 consid. 3 p. 300 et les arrêts cités). L'intérêt doit être direct et concret; en particulier, la personne doit se trouver dans un rapport suffisamment étroit avec la décision; tel n'est pas le cas de celui qui n'est atteint que de manière indirecte et médiate (ATF 130 V 196 consid. 3 p. 202, 514, consid. 3.1 p. 515 et les arrêts cités). Le recours formé dans le seul intérêt de la loi ou d'un tiers est irrecevable (ATF 124 II 499 consid. 3b p. 504; 123 II 542 consid. 2 e p. 545; 121 II 39 consid. 2c/aap. 43 et les arrêts cités). La qualité pour agir est en principe admise lorsque le recours est formé par le propriétaire d'un immeuble directement voisin de la construction ou de l'installation litigieuses. La proximité avec l'objet du litige ne suffit cependant pas à elle seule à conférer au voisin la qualité pour recourir contre la délivrance d'une autorisation de construire. Celui-ci doit en outre retirer un avantage pratique à l'annulation ou à la modification du permis contesté qui permette d'admettre qu'il est touché dans un intérêt personnel se distinguant nettement de l'intérêt général des autres habitants de la commune. Si les normes cantonales ou communales de police des constructions dont le recourant allègue la violation ne doivent pas nécessairement tendre, au moins accessoirement, à la protection de ses intérêts de propriétaire voisin, ce dernier n'est pas pour autant libre d'invoquer n'importe quel grief. Il ne peut se prévaloir d'un intérêt digne de protection à invoquer des dispositions édictées dans l'intérêt général ou dans l'intérêt de tiers que si elles peuvent avoir une influence sur sa situation de fait ou de droit. Cette exigence n'est pas remplie lorsque le recourant dénonce une application arbitraire des dispositions du droit des constructions qui n'ont aucune influence sur sa situation de voisin, telles celles relatives à l'aération ou à l'éclairage des locaux d'habitation dans un bâtiment voisin, ou encore celles qui concernent la distance à la limite du côté opposé au voisin (ATF 1C_110 2009 du 6 juillet 2009; 1C_64/2007 du 2 juillet 2007 consid. 2; CDAP AC. 2009.0108 du 15 janvier 2010 consid. 1a; AC.2007.0306 du 18 août 2009 et les références citées). Dans le cas particulier, les recourants ne sont pas directement voisins de la parcelle sur laquelle le projet litigieux doit être érigé. Ils sont cependant propriétaires de parcelles situées à proximité, plus précisément au nord de la parcelle n°4153 alors que le terrain est en pente dans ce quartier (entre 10 et 15 %), de sorte que leurs habitations surplombent la parcelle litigieuse. Certes, des constructions sont prévues sur la parcelle n° 4152 située entre la parcelle n°4153 et les parcelles des recourants; en outre, la végétation de cette parcelle intermédiaire est pour l'instant constituée d'une double haie sur sa limite au nord et de nombreux arbres jusqu'à sa limite au sud avec la parcelle n° 4153; il est néanmoins possible que les deux villas objets du permis de construire contesté portent atteinte au dégagement dont jouissent les recourants. La qualité pour agir des recourants ne saurait leur être déniée sans plus ample instruction, de sorte qu'il convient d'entrer en matière sur le fond.</w:t>
      </w:r>
    </w:p>
    <w:p>
      <w:r>
        <w:rPr>
          <w:b/>
        </w:rPr>
        <w:t>E. 2</w:t>
      </w:r>
    </w:p>
    <w:p>
      <w:r>
        <w:t>prescrits par l'art. 41 RPA; il n'a qu'un rez-de-chaussée d'une hauteur inférieure à 3 m, il est prévu pour deux voitures, conformément à l'art. 73 al. 1 et 2 RPA, et son implantation respecte la distance à la limite de 6 m prévue par l'art. 36 RPA (par renvoi de l'art. 73 al. 4 1 ère phrase RPA), ce qui n'était pas le cas du garage prévu initialement. Il s'agit manifestement d'une dépendance contiguë au bâtiment principal, le garage étant accolé à la villa 1; peu importe que le sous-sol de la villa soit partiellement enterré; dite villa comprend plusieurs niveaux et le garage est contigu au bâtiment principal même s'il n'est pas lui-même enterré en tout ou partie. Ce grief doit également être écarté. e) Les recourants font ensuite valoir que les caves et les combles des villas projetées seraient habitables contrairement à ce que mentionnent les plans mis à l'enquête. Le tribunal relève que le permis de construire est tout à fait clair et précis sur ce point dès lors qu'il souligne expressément, s'agissant des locaux non habitables, que "les locaux non-chauffés caves et galetas ne peuvent pas être utilisés pour du logement ou de l'activité professionnelle" , qu'ils " ne pourront en aucun cas être chauffés " et que " l'acquéreur ou le locataire devra être informé de cette restriction ." Les recourants partent du principe qu'au vu de la configuration du projet, ce serait faire preuve d'angélisme que de considérer que le galetas et les caves ne seront pas utilisés comme surface habitable. Le permis de construire délivré mentionne précisément les combles et les caves comme n'étant pas habitables, ce qui démontre que la municipalité a pris en considération cette question dans l'examen du projet mis à l'enquête. Au surplus, dans sa décision du 9 mai 2018, la municipalité a développé sa réponse aux opposants sur cette appréciation du caractère non habitable du sous-sol et des combles en rappelant ce qui suit : "Pour être considérés comme habitables, les locaux doivent répondre à plusieurs critères concernant la hauteur, le volume, l'éclairage et le chauffage: Des locaux non chauffés ne peuvent pas être considérés comme habitables. Les locaux non habitables ne peuvent pas servir au logement ou à l'activité professionnelle. Par contre, ils sont utilisables comme cave, grenier, atelier de bricolage, salle de jeux ou autre." Ce développement de la municipalité est conforme à la jurisprudence cantonale constante qui admet que les surfaces disponibles et utilisables, notamment en sous-sol, qui ne répondent pas aux critères de salubrité fixés par les art. 25 à 28 du règlement du 19 septembre 1986 d'application de la loi sur l'aménagement du territoire et les constructions du</w:t>
      </w:r>
    </w:p>
    <w:p>
      <w:r>
        <w:rPr>
          <w:b/>
        </w:rPr>
        <w:t>E. 4</w:t>
      </w:r>
    </w:p>
    <w:p>
      <w:r>
        <w:t>décembre 1985 (RLATC; BLV 700.11.1), puissent être utilisées comme salle de sport, home cinéma, sauna, hammam, salle de jeux, sans que ces surfaces soient prises en compte dans le calcul du coefficient d'utilisation du sol (AC.2017.0403 du 5 mars 2018 consid. 1d; AC.2010.0106 du 30 août 2011 consid. 4). La jurisprudence admet aussi de manière constante les locaux de fitness au titre de locaux non habitables dans des sous-sols (arrêts AC.2011.0232 du 28 juin 2012 consid. 2c; AC.2011.0159 du 19 décembre 2011 consid. 4; AC.2008.0161 du 24 avril 2009 consid. 2b et 2c). Ainsi, du point de vue de la police des constructions, le projet autorisé n'est pas contraire aux dispositions communales réglementaires. Ce troisième grief soulevé par les recourants relève bien plutôt de la surveillance qui devra être effectuée par la municipalité au moment de la délivrance du permis d'habiter dans la mesure où il appartient à l'autorité de s'assurer que les conditions fixées par le permis de construire ont été respectées et que l'exécution correspond en tous points aux plans mis à l'enquête (art. 128 al. 1 LATC); ce grief ne saurait être retenu au stade de l'examen du recours par la CDAP. 3. En définitive, aucun des griefs soulevés par les recourants n'est admis et le recours doit être rejeté. Les frais sont mis à la charge des recourants qui succombent (art. 49 al. 1 LPA-VD). Ceux-ci verseront en outre une indemnité à titre de dépens à l'autorité intimée qui a procédé par l'intermédiaire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