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AC.2018.0189 vom 18. Oktober 2019</w:t>
      </w:r>
    </w:p>
    <w:p>
      <w:r>
        <w:t>VD Tribunal cantonal, 2019-10-18, FR</w:t>
      </w:r>
    </w:p>
    <w:p>
      <w:r>
        <w:rPr>
          <w:b/>
        </w:rPr>
        <w:t xml:space="preserve">Quelle: </w:t>
      </w:r>
      <w:r>
        <w:t>https://mcp.opencaselaw.ch/entscheid/vd_omni_AC.2018.0189</w:t>
      </w:r>
    </w:p>
    <w:p>
      <w:r>
        <w:t>FR: VD_OMNI AC.2018.0189 du 18 octobre 2019</w:t>
      </w:r>
    </w:p>
    <w:p>
      <w:r>
        <w:t>IT: VD_OMNI AC.2018.0189 del 18 ottobre 2019</w:t>
      </w:r>
    </w:p>
    <w:p>
      <w:pPr>
        <w:pStyle w:val="Heading2"/>
      </w:pPr>
      <w:r>
        <w:t>Regeste</w:t>
      </w:r>
    </w:p>
    <w:p>
      <w:r>
        <w:t>A.________,B.________/Département du territoire et de l’environnement (DTE), Conseil communal d'Ollon | Recours d'opposants contre la décision du Conseil communal adoptant la zone réservée communale et contre celle du Département approuvant préalablement cette zone réservée, opposants dont la parcelle n'est pas sise dans la zone réservée prévue et qui font valoir que certaines parcelles incluses dans la zone réservée devraient l'être dans un autre périmètre de cette zone que celui prévu. - Il est pour le moins douteux que les recourants disposent d'un intérêt digne de protection à pouvoir contester les décisions portant sur la zone réservée, dès lors que leur parcelle n'y est pas incluse. Cette question peut cependant rester ouverte, dans la mesure où le recours doit de toute manière être rejeté sur le fond (consid. 1).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(consid. 2). - Il existe des motifs légitimes et objectifs d'inclure les parcelles en cause dans le périmètre de la zone réservée à laquelle elles ont été affectées, périmètre dont le choix de l'emplacement apparaît judicieux sous l'angle du principe de la proportionnalité (consid. 3). Recours rejeté dans la mesure où il est recevable.</w:t>
      </w:r>
    </w:p>
    <w:p>
      <w:pPr>
        <w:pStyle w:val="Heading2"/>
      </w:pPr>
      <w:r>
        <w:t>Erwägungen</w:t>
      </w:r>
    </w:p>
    <w:p>
      <w:r>
        <w:rPr>
          <w:b/>
        </w:rPr>
        <w:t>E. 1</w:t>
      </w:r>
    </w:p>
    <w:p>
      <w:r>
        <w:t>a) 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 SDT conteste cependant la qualité pour agir des recourants, dans la mesure où leur parcelle n'est pas comprise dans la zone réservée. b)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Le recourant doit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En l'espèce, la parcelle des recourants n'est pas incluse dans le périmètre de la zone réservée, contrairement aux parcelles n os 2376, 2378, 2397 et 3377. Il est donc pour le moins douteux que les recourants disposent d'un intérêt digne de protection à pouvoir contester les décisons portant sur la zone réservée. Les propriétaires fonciers n'ont aucun droit à obtenir une modification de la planification communale, ni a fortiori à exiger qu'une parcelle d'un tiers soit comprise dans une zone réservée (mesure de nature provisoire). En cas d'admission des conclusions subsidiaires du recours (annulation des décisions attaquées), les propriétaires des parcelles n os 2376, 2378,  2397 et 3377 (classées en zone à bâtir) pourraient construire non seulement des hébergements touristiques ou des installations sportives (sans incidence sur le nombre d'habitants de la commune), mais également des bâtiments d'habitation (résidences principales), ce qui irait à l'encontre de l'objectif de redimensionnement de la zone à bâtir visé par les l'art. 15 LAT et du PDCn. Point n'est cependant besoin de trancher définitivement la question de la qualité pour agir des recourants, dans la mesure où le recours doit de toute manière être rejeté sur le fond.</w:t>
      </w:r>
    </w:p>
    <w:p>
      <w:r>
        <w:rPr>
          <w:b/>
        </w:rPr>
        <w:t>E. 2</w:t>
      </w:r>
    </w:p>
    <w:p>
      <w:r>
        <w:t>Les zones à bâtir surdimensionnées doivent être réduites.</w:t>
      </w:r>
    </w:p>
    <w:p>
      <w:r>
        <w:rPr>
          <w:b/>
        </w:rPr>
        <w:t>E. 3</w:t>
      </w:r>
    </w:p>
    <w:p>
      <w:r>
        <w:t>Les recourants demandent que les parcelles n os 2376, 2378, 2397 et 3377 (dans sa partie sud) soient incluses dans la zone réservée A et non dans la zone réservée B. Or ces parcelles sont, à l'instar de la parcelle n° 2381 des recourants, classées en zone de chalets; elles sont situées dans le territoire urbanisé, soit un secteur largement bâti, selon les critères retenus par la Fiche d'application du SDT "Comment délimiter le territoire urbanisé". Comme le relève pertinemment la commune d'Ollon dans sa réponse, si lesdites parcelles n'avaient pas été colloquées en zone réservée B (qui constitue une restriction à la garantie de propriété), elles n'auraient pas été colloquées en zone réservée A (à l'exception du haut de la parcelle n° 3377). Par ailleurs, il ne faut pas perdre de vue que les parcelles précitées ont été classées en zone réservée B, soit une zone où seuls des hébergements touristiques ou des installations sportives notamment sont autorisés, de sorte que cela aura un impact sur la diminution du potentiel d'accueil de nouveaux habitants, conformément aux objectifs visés par l'art. 15 LAT et la mesure A11 du PDCn. La construction de résidences secondaires au sens de la LRS ne sauraient être admises dans la zone réservée B, contrairement à ce que laissent entendre les recourants. Comme le souligne encore le SDT dans sa réponse, l'instauration de la zone réservée B sur les parcelles en cause se justifie d'autant plus qu'elles se prêtent difficilement à un retour à la zone agricole. Il existe donc des motifs légitimes et objectifs d'instaurer une zone réservée B sur parcelles n os 2376, 2378, 2397 et 3377. La mesure contestée paraît ainsi apte et nécessaire à préserver la marge de manœuvre des autorités communales dans le cadre de la révision du PGA (cf. art. 2 al. 3 LAT). L'instauration d'une zone réservée B sur les parcelles en cause poursuit un objectif tant quantitatif – réduction des réserves de terrains à bâtir pour les habitants – que qualitatif – avec une réflexion sur l'ensemble des objectifs du PDCn.  En effet, selon le PDCn (mesure R21 : Tourisme — Alpes vaudoises), la commune d'Ollon fait partie du territoire concerné par la fiche régionale des Alpes vaudoises qui définit une stratégie régionale de valorisation touristique pour ce pôle touristique multi-site d'importance cantonale. La Commune se positionne comme une destination touristique de village de montagne orientée principalement vers un tourisme de sport et de sensations, surtout pour le ski en hiver. La réduction de la zone à bâtir s'inscrit dans un schéma directeur communal qui définit les principaux secteurs d'activités touristiques. Dans ce contexte, la zone réservée est un outil conforme au PDCn en permettant de limiter, voire interdire, le développement de nouvelles constructions sur des parcelles qui seraient concernées dans le cadre du PGA par un changement d'affectation, notamment au profit d'une zone à but touristique. La mise en zone réservée de la parcelle litigieuse répond donc aussi à l'objectif de développer les sports et loisirs hivernaux tels que le ski, ainsi que de diversifier et d'augmenter les capacités disponibles d'hébergements touristiques. A cela s'ajoute que l'instauration d'une zone réservée B permet aussi de créer et de maintenir un milieu bâti favorable à l’exercice des activités économiques (art. 1 al. 2 lettre b bis LAT). Tout bien considéré, le choix de l'emplacement de la zone réservée B apparaît judicieux sous l'angle du principe de la proportionnalité.</w:t>
      </w:r>
    </w:p>
    <w:p>
      <w:r>
        <w:rPr>
          <w:b/>
        </w:rPr>
        <w:t>E. 4</w:t>
      </w:r>
    </w:p>
    <w:p>
      <w:r>
        <w:t>Mal fondé, le recours doit être rejeté dans la mesure de sa recevabilité, ce qui entraîne la confirmation des décisions attaquées. Succombant, les recourants supporteront un émolument judiciaire (art. 49 LPA-VD), ainsi qu'une indemnité à titre de dépens à allouer à la Commune d'Ollon,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