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AC.2018.0140 vom 6. Februar 2019</w:t>
      </w:r>
    </w:p>
    <w:p>
      <w:r>
        <w:t>VD Tribunal cantonal, 2019-02-06, FR</w:t>
      </w:r>
    </w:p>
    <w:p>
      <w:r>
        <w:rPr>
          <w:b/>
        </w:rPr>
        <w:t xml:space="preserve">Quelle: </w:t>
      </w:r>
      <w:r>
        <w:t>https://mcp.opencaselaw.ch/entscheid/vd_omni_AC.2018.0140</w:t>
      </w:r>
    </w:p>
    <w:p>
      <w:r>
        <w:t>FR: VD_OMNI AC.2018.0140 du 6 février 2019</w:t>
      </w:r>
    </w:p>
    <w:p>
      <w:r>
        <w:t>IT: VD_OMNI AC.2018.0140 del 6 febbraio 2019</w:t>
      </w:r>
    </w:p>
    <w:p>
      <w:pPr>
        <w:pStyle w:val="Heading2"/>
      </w:pPr>
      <w:r>
        <w:t>Regeste</w:t>
      </w:r>
    </w:p>
    <w:p>
      <w:r>
        <w:t>A.________, B.________, C.________, D.________, E.________, F.________, G.________, H.________, I.________, J.________, K.________, L.________, M.________, N.________, O.________, P.________, Q.________, R.________/Municipalité d'Ollon, S.________, ECA | Recours de voisins contre une autorisation préalable d'implantation relative à un projet de résidence hôtelière comprenant 9 logements à Villars. Les conditions posées par la jurisprudence du Tribunal fédéral pour qu'un contrôle incident d'un plan doive être effectué au stade d'une procédure d'autorisation dans une commune dont les zones à bâtir sont surdimensionnées ne sont pas remplies (consid. 2). Confirmation que la conformité d'un projet à la loi sur les résidences sdecondaires n'a pas à être examinée au stade de l'autorisation préalable d'implantation (consid. 3).</w:t>
      </w:r>
    </w:p>
    <w:p>
      <w:pPr>
        <w:pStyle w:val="Heading2"/>
      </w:pPr>
      <w:r>
        <w:t>Erwägungen</w:t>
      </w:r>
    </w:p>
    <w:p>
      <w:r>
        <w:rPr>
          <w:b/>
        </w:rPr>
        <w:t>E. 1</w:t>
      </w:r>
    </w:p>
    <w:p>
      <w:r>
        <w:t>Se référant aux précédentes décisions rendues par la municipalité, la CCRC et le Tribunal administratif, les recourants soutiennent qu'il n'existe aucune raison de s'écarter du constat selon lequel l'accès n'est pas suffisant. Selon eux, il y aurait d'autant moins lieu de s'en écarter que la circulation dans le village de Chesières et au chemin du Carroz aurait doublé depuis les précédentes décisions. Ils soutiennent ainsi que la configuration des accès s'est nettement aggravée au vu du nombre de véhicules stationnant le long du chemin du Carroz où a été de surcroît implantée une dépendance du Service communal de la voirie. Ils contestent que l'accès à des résidences hôtelières soit moins intense que l'accès à des résidences principales. Ils soutiennent que la partie inférieure du chemin du Carroz est impraticable en hiver en raison de sa pente et que même des véhicules de la voirie rencontrent des difficultés. Ils mentionnent également des vitesses excessives sur ce tronçon lorsque la route est praticable. Pour ce qui est du "tronçon 2", ils font valoir que le croisement est hautement problématique en situation estivale et extrêmement difficile en hiver. Ils relèvent en outre que le "tronçon 3", du fait de sa largeur et de l'avancée des toitures de certains bâtiments, ne permet pas le passage de camions pour l'acheminement du matériel de construction ou autres livraisons. Ils contestent l'efficacité et la faisabilité (place de rebroussement, coupe d'arbres sur la parcelle n° 2790) des mesures proposées dans l'étude RGR. Dans leurs observations complémentaires, ils invoquent encore le fait que la configuration des lieux ne permet pas une intervention des engins et véhicules du feu conforme à la Directive concernant les accès, surfaces de manœuvre et d'appui pour les moyens d'intervention sapeurs-pompiers (notamment les ch. 5.1 et 5.2). Le projet ne pourrait dès lors pas répondre aux exigences formulées par l'ECA dans la synthèse CAMAC. Les recourants invoquent enfin un empiètement de la place de rebroussement sur les parcelles n os 2790 et 2791 et un empiètement du chemin d'accès sur la parcelle n° 2790, le passage des véhicules de grande taille impliquant la taille, voire l'abattage des arbres sis sur cette parcelle. a) Conformément aux art. 22 al. 2 let. b de la loi fédérale du 22 juin 1979 sur l'aménagement du territoire (LAT; RS 700) et 104 al. 3 de la loi du 4 décembre 1985 sur l'aménagement du territoire et les constructions (LATC; BLV 700.11),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 cit.; TF 1C_225/2017 du 16 janvier 2018 consid. 4.1). Il faut également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121 I 65 consid. 3a et les réf. cit.; TF 1C_225/2017 du 16 janvier 2018 consid. 4.1 et les réf. cit.).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(TF 1C_225/2017 du 16 janvier 2018 consid. 4.1; 1C_157/2008 du 10 juillet 2008 consid. 2.1). b) aa) La vision locale a permis au tribunal de constater que, au niveau des tronçons 2 et 3, le chemin du Carroz, bien qu'étroit, pourra accueillir le trafic lié au projet litigieux, soit le trafic induit par les dix places de parc prévues. Certes, dès lors qu'on ne connait pas encore de manière précise comment sera utilisé le bâtiment projeté, le nombre de mouvements ne peut pas être déterminé avec exactitude. Quoi qu'il en soit,  il ressort de la vision locale que, notamment sur le tronçon 2, des possibilités de croisement existent, si nécessaire en empiétant sur les parcelles privées, et qu'il y a manifestement un modus vivendi à cet égard entre les utilisateurs, qui permet de gérer correctement la situation. Or, il résulte de la jurisprudence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(cf. arrêts AC.2016.0193,  2016.0202 du 21 mars 2017 [confirmé par l'arrêt TF 1C_225/2017 du 16 janvier 2018]; AC.2013.0228 du 22 juillet 2014; AC.2012.0027 du 30 janvier 2013; AC.2009.0182 du 5 novembre 2010; AC.2005.0169 du 15 décembre 2005 et réf.). On relèvera encore que l'augmentation générale du trafic mentionnée par les recourants depuis les décisions rendues par la CCRC et le Tribunal administratif n'est pas déterminante s'agissant de la question de savoir la configuration du chemin du Carroz permet d'accueillir le trafic supplémentaire induit par le projet litigieux. Les recourants ne prétendent en effet pas que le nombre de logements desservis par le chemin du Carroz, et par conséquent le nombre de mouvements sur ce chemin, aurait augmenté de manière significative depuis les décisions précitées. Quoi qu'il en soit, on parle de volumes de trafic faibles. bb) Pour ce qui est du tronçon 1 (tronçon étroit en partie en forte pente [25%]), il y a lieu de constater que celui-ci est actuellement utilisé par les occupants du chalet sis sur la parcelle n° 9066 (locataires qui y vivent à l'année) et par les occupants du chalet sis sur la parcelle n° 2790 (ceux-ci sortent sur la partie raide du chemin). Avec les dix places de parc prévues par le projet litigieux, le trafic à cet endroit ne va pas augmenter de manière significative et les cas où des véhicules devront croiser dans le "goulet d'étranglement très raide" mentionné par la CCRC et le Tribunal administratif devraient demeurer relativement rares. En outre, d'éventuels croisements seront facilités par l'existence d'un espace d'évitement (débouché latéral sur le chemin) à la hauteur du débouché de la parcelle n° 2790 sur le chemin du Carroz. De manière générale, la situation en cas de rencontre de deux véhicules dans la partie raide sera a priori gérable. Il peut en effet être attendu que le véhicule non prioritaire (la priorité étant réglée par des panneaux [cf. mesure 1 proposée par le bureau RGR]) recule jusqu'à une place permettant à l'autre véhicule de croiser. Cette manœuvre sera facilitée par le fait que, vu la configuration des lieux, les véhicules rouleront à vitesse modérée. Sur ce point, on peut encore relever que d'éventuels problèmes de croisement dans la pente ne devraient pas survenir de nuit dès lors que les phares de véhicules sont visibles de loin. Certes, les manœuvres à effectuer seront plus difficiles en cas de mauvaises conditions (neige, glace, verglas), raison pour laquelle la CCRC puis le Tribunal administratif avaient considéré dans leurs décisions de 1984 et 1995 que l'accès, s'agissant de la partie raide du Chemin du Carroz, ne répondait pas aux exigences minimales en matière de sécurité. Vu le temps écoulé depuis les décisions précitées (plus de 30 ans et plus de 20 ans), cette appréciation mérite d'être réexaminée en tenant compte des progrès des véhicules dans ce type de conditions. Il convient ainsi de constater que, aujourd'hui, des véhicules correctement équipés sont en mesure de se déplacer sur une route présentant une pente telle que celle qui est ici en cause, même dans des conditions hivernales. C'est plus particulièrement le cas des véhicules avec traction quatre roues, les autres véhicules pouvant si nécessaire utiliser des chaînes à neige.  A cela s'ajoute que, comme les bâtiments projetés devraient être affectés à des résidences hôtelières, l'exploitant de ces résidences aura un intérêt à déneiger régulièrement la partie du chemin dont la commune ne s'occupe pas. L'exploitant devrait également être incité à informer ses clients de l'importance de disposer d'un équipement adéquat vu la configuration des lieux. Pour ce qui est de la dangerosité de l'accès dans des conditions hivernales, on peut au demeurant constater que la CCRC et le Tribunal administratif n'avaient pas jugé que, en soi,  l'accès était trop dangereux puisque, dans les deux cas, il avait été relevé qu'un projet comportant "quelques appartements" serait admissible. Enfin, il y a lieu de tenir compte du fait que la gestion des problèmes posés par la pente du tronçon 1, notamment les croisements en cas de mauvaises conditions, sera facilitée par les mesures préconisées par le bureau RGR, soit l'installation de panneaux de signalisation, la création d'une place de rebroussement et la taille de la haie sise au Sud de la parcelle n°2790. Sur ces derniers points, on peut relever que, contrairement à ce que soutiennent les recourants, la place de rebroussement pourra être réalisée entièrement sur la parcelle n° 2792 et n'empêchera pas la construction du chalet C (cf. plan d'enquête 451.1 "plan de situation/façade sud"). En outre, une taille de la haie bordant la parcelle n° 2790 et empiétant a priori sur la servitude de passage, comme on l'a constaté lors de l'audience, devrait pouvoir être exigée en application du Code rural et foncier. c) Pour ce qui est de l'accès aux parcelles n os 2792 et 2798, il convient encore de relever que, vérification faite sur place, la largeur de la servitude existante est suffisante, ce qui implique qu'il n'y aura pas d'empiètement sur les parcelles voisines. Le projet ne pose dès lors pas problème au regard de l'exigence de l'art. 104 al. 3 LATC selon laquelle les équipements empruntant la propriété d'autrui doivent être au bénéfice d'un titre juridique. d) S'agissant de l'accès au chantier avec des camions, on relève que celui-ci est a priori possible puisqu'une construction a pu être réalisée sur la parcelle n° 9066. Quoi qu'il en soit, l'expérience montre que des solutions pour acheminer les matériaux de construction dans des conditions d'accès non idéales peuvent être trouvées, les difficultés d'accès par des véhicules lourds évoqués par les recourants pouvant tout au plus impliquer des surcoûts pour les constructeurs (liés par exemple à la nécessité d'utiliser des véhicules plus petits). e) Pour ce qui est des difficultés d'intervention en cas d'incendie,  on constate que les exigences de la directive CSSP concernant les accès, surfaces de manœuvre et d'appui pour les moyens d'intervention sapeurs-pompiers (ci-après: la directive CSSP) ne sont apparemment pas toutes respectées. Cela étant, il résulte de la prise de position de l'ECA du 15 octobre 2018 qu'on ne se trouve pas dans une situation où il apparaît d'emblée que les conditions minimales en matière d'intervention contre le feu ne pourront pas être remplies. L'ECA a notamment souligné à cet égard que des mesures compensatoires sont possibles lorsque la directive précitée ne peut pas être pleinement satisfaite. L'ECA a en outre indiqué que les dispositions détaillées de mise en œuvre de la directive CSSP, qui pourraient éventuellement nécessiter des travaux à l'extérieur des bâtiments, seront développées dans le cadre de la demande de permis de construire ultérieure. Vu ce qui précède, le tribunal de céans parvient à la conclusion que la question du respect de la directive CSSP n'a pas à être examinée dans le détail à ce stade et qu'elle ne fait pas obstacle à la délivrance de l'autorisation spéciale d'implantation. Cela étant, il appartiendra aux constructeurs de démontrer dans le cadre de la procédure relative au permis de construire qu'ils sont en mesure de respecter les exigences de la directive ou, à tout le moins, d'indiquer quelles seront les mesures de compensation adaptées et suffisantes qui seront mises en œuvre sur la base de la concertation avec les forces d'intervention évoquées dans les déterminations de l'ECA. f) Pour ce qui est de la visibilité au débouché du chemin sur la route cantonale (RC 719), la vision locale a montré qu'elle est suffisante. g) En relation avec les griefs des recourants relatifs à l'accès, on relèvera finalement qu'on ne saurait exclure que quelques jours par année, après d'importantes chutes de neige, l'accès aux parcelles n os 2792 et 2798 par le chemin du Carroz s'avère particulièrement difficile, voire impossible pendant quelques heures. Ce type de situation exceptionnelle, que connaissent toutes les stations de montagne, ne saurait toutefois conduire au constat que les exigences en matière d'équipement résultant des art. 19 LAT, 22 al. 2 let. b  LAT et 104 al. 3 LATC ne sont pas remplies. h) Vu ce qui précède, les griefs des recourants relatifs à l'accès doivent être écartés. 2.                Les recourants soulignent que les parcelles n os 2792 et 2798 représentent un appendice important du poumon de verdure qui comprend les parcelles n os 2801, 2806, 2808, 2812 et 2816 et qu'elles constituent également un lien avec la forêt sise au sud-est, colloquée en zone de verdure. Ils soutiennent que, en application de l'art. 21 al. 2 LAT et en raison du surdimensionnement de la commune d'Ollon, l'art. 15 al. 1 LAT combiné avec l'entrée en vigueur de la législation sur les résidences secondaires commande d'envisager la collocation des parcelles n os 2792 et 2798 en zone réservée. Ils demandent par conséquent un contrôle préjudiciel de la planification.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Selon la jurisprudence du Tribunal fédéral, la réduction des zones surdimensionnées relève d'un intérêt public important, susceptible d'avoir, sur le principe, le pas sur l'intérêt public à la stabilité des plans, ainsi que sur les intérêts privés des propriétaires concernés. La réalisation de cet objectif, expressément prévu dans les modifications de la LAT du 15 juin 2012 entrées en vigueur le 1 er mai 2014, ne saurait cependant constituer le seul critère pertinent pour déterminer la nécessité d'entrer en matière sur une demande de révision d'un plan d'affectation, dans le cadre d'une procédure d'autorisation de construire. En effet, si le régime transitoire prévu par la novelle du 15 juin 2012, à l'art. 38a al. 2 LAT, interdit de façon immédiate l'extension de la zone à bâtir dans le canton, dans l'attente de l'adoption de plans directeurs conformes au nouveau droit, il ne prohibe pas, dans cet intervalle, la mise en œuvre de planifications d'affectation conformes à la LAT; il ne définit pas non plus précisément quelles parcelles seront concernées par le redimensionnement de la zone à bâtir, choix qui relève dans une large mesure du pouvoir d'appréciation des autorités locales de planification. Dès lors, pour que l'entrée en vigueur de la novelle du 15 juin 2012 constitue une modification des circonstances qui, sur le plan législatif, puisse être qualifiée, au stade de la première étape, de sensible au sens de l'art. 21 al.</w:t>
      </w:r>
    </w:p>
    <w:p>
      <w:r>
        <w:rPr>
          <w:b/>
        </w:rPr>
        <w:t>E. 2</w:t>
      </w:r>
    </w:p>
    <w:p>
      <w:r>
        <w:t>LAT, il faut que s'y ajoutent d'autres circonstances. Parmi celles-ci se trouvent notamment la localisation de la parcelle par rapport à la zone à bâtir existante, le niveau d'équipement de la parcelle et la date de l'entrée en vigueur du plan d'affectation. Savoir si ensuite une adaptation du plan s'avère nécessaire relève d'une pesée complète des intérêts qui s'opère dans le cadre de la deuxième étape (ATF 144 II 41 consid. 5.1; arrêt TF 1C_308/2017 du 4 juillet 2018 consid. 3.1 et 3.2.1). b) aa) En l'occurrence,  les parcelles n os 2792 et 2798 se situent dans un périmètre largement construit avec des constructions au sud, au nord et à l'est. En outre, ces parcelles sont équipées. On ne se trouve dès lors pas en présence d'une petite zone constructible isolée ne répondant a priori pas aux exigences de densification et de développement du bâti vers l'intérieur (cf. ATF 144 II 41 consid. 5.3). Il n'existe au surplus pas d'autres éléments, liés par exemple à la protection du paysage ou à la protection de la nature, propres à remettre en cause le caractère constructible des parcelles concernées et justifiant l'ouverture d'un contrôle incident. L'existence d'une forêt sise au sud-est, colloquée en zone de verdure, ne saurait notamment justifier à elle seule un tel contrôle. De même, contrairement à ce que soutiennent les recourants, un contrôle incident ne saurait s'imposer en raison de l'entrée en vigueur de la législation sur les résidences secondaires. bb) Vu ce qui précède, le choix consistant à inclure les parcelles n os 2792 et 2798 dans le périmètre B de la zone réservée, soit dans un secteur où les constructions destinées à l'hébergement touristique ou organisé sont admises (cf. art. 5 du règlement de la zone réservée), ne saurait être mis en cause dans le cadre de la présente procédure. 3.                Les recourants relèvent que le projet litigieux porte sur de l'hébergement touristique au sens de l'art. 7 al. 2 de la loi fédérale du 20 mars 2015 sur les résidences secondaires (LRS; RS 702). Ils soutiennent que, déjà au stade de la procédure relative au permis d'implantation, il y a lieu de procéder à l'examen de la plausibilité de l'affectation. Ils font valoir à cet égard que ni les requérants ni la commune ne fournissent d'informations permettant de déterminer si les éléments nécessaires pour une entreprise d'hébergement organisé sont réunis, soit l'existence d'un concept d'exploitation de type hôtelier. a) L'art. 119 LATC relatif aux autorisations préalables d'implantation prévoit ce qui suit: " Art. 119 -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 Selon la jurisprudence cantonale, l'octroi du permis d'implantation a les mêmes effets juridiques que ceux du permis de construire en ce qui concerne les éléments contenus dans cette autorisation (cf. arrêts AC.2013.0005 du 24 avril 2013;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L'autorisation préalable d'implantation ne couvre que les éléments soumis à l'enquête publique préalable. Seuls ces éléments-là sont susceptibles d'acquérir force de chose décidée en vertu de l'art. 119 LATC.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 cf. arrêts AC.2015.0025 du 24 février 2016 consid. 2b; AC.2013.0065 du 18 juin 2015 consid. 1 et les références citées). b) Dans un arrêt AC.2013.0005, le Tribunal cantonal a constaté que la question de savoir si l'on était en présence d'une résidence principale ou secondaire, et par conséquent de la conformité du projet au regard de la LRS, n'avait pas à être examinée au stade de l'autorisation préalable d'implantation. La même conclusion peut être faite en l'espèce. La question de la conformité du projet au regard de la LRS doit être considérée comme une question non réglée par l'autorisation préalable d'implantation, qui devra cas échéant être tranchée dans la procédure de permis de construire. Ce grief des recourants doit par conséquent également être écarté.</w:t>
      </w:r>
    </w:p>
    <w:p>
      <w:r>
        <w:rPr>
          <w:b/>
        </w:rPr>
        <w:t>E. 4</w:t>
      </w:r>
    </w:p>
    <w:p>
      <w:r>
        <w:t>Il résulte de ce qui précède que le recours doit être rejeté et la décision de la municipalité du 15 mars 2018 être confirmée. Vu le sort du recours, les frais de la cause sont mis à la charge des recourants. Ces derniers verseront en outre de dépens à la commune d'Ollon,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