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AC.2018.0139 vom 18. Juni 2019</w:t>
      </w:r>
    </w:p>
    <w:p>
      <w:r>
        <w:t>VD Tribunal cantonal, 2019-06-18, FR</w:t>
      </w:r>
    </w:p>
    <w:p>
      <w:r>
        <w:rPr>
          <w:b/>
        </w:rPr>
        <w:t xml:space="preserve">Quelle: </w:t>
      </w:r>
      <w:r>
        <w:t>https://mcp.opencaselaw.ch/entscheid/vd_omni_AC.2018.0139</w:t>
      </w:r>
    </w:p>
    <w:p>
      <w:r>
        <w:t>FR: VD_OMNI AC.2018.0139 du 18 juin 2019</w:t>
      </w:r>
    </w:p>
    <w:p>
      <w:r>
        <w:t>IT: VD_OMNI AC.2018.0139 del 18 giugno 2019</w:t>
      </w:r>
    </w:p>
    <w:p>
      <w:pPr>
        <w:pStyle w:val="Heading2"/>
      </w:pPr>
      <w:r>
        <w:t>Regeste</w:t>
      </w:r>
    </w:p>
    <w:p>
      <w:r>
        <w:t>A.________ /Service du développement territorial, Municipalité de Leysin | Travaux sans autorisation réalisés en zone agricole et alpestre. Le propriétaire détient des poules à titre de loisir. Confirmation du refus du SDT de régulariser le nouveau poulailler et l'agrandissement du poulailler existant (consid. 3), trois murs de soutènement, l'agrandissement de la terrasse et son mur de soutènement (consid. 4). En outre, l'ordre de remise en état est conforme au principe de proportionnalité (consid. 6 d, 6e et 6f). Confirmation du refus du SDT de régulariser les places de stationnement au bord de la route, le chemin d'accès, les murs de soutènement en amont et en aval de l'accès (en traverses de chemin de fer et en pierres maçonnées) (consid. 4). Toutefois, dès lors que ces aménagements existaient déjà avant les travaux (sous la forme d'enrochements aménagés de la main de l'homme et de places non goudronnées), le tribunal considère que c'est à tort que la décision ordonne globalement de supprimer ces aménagements de la même manière qu'elle ordonne la suppression des autres objets, entièrement nouveaux, examinés ci-dessus. Par ailleurs, dès lors que la suppression des murs en traverses de chemin de fer et en pierres maçonnées entraînerait l'effondrement d'une partie de la route et celui de l'accès, et qu'il faudrait les remplacer par des aménagements semblables à ceux d'origine, le principe de la proportionnalité commande de les tolérer, avec les aménagements qu'ils soutiennent. Il faut toutefois imposer l'inscription au registre foncier d'une mention en application de l'art. 44 OAT prévoyant qu'en cas de destruction volontaire ou involontaire, les murs de soutènement de l'accès ne pourront pas être reconstruits en traverses de chemin de fer et en pierres naturelles maçonnées et que le terrain qu'ils soutiennent ne pourra pas être goudronné (consid. 6c). Recours partiellement admis.</w:t>
      </w:r>
    </w:p>
    <w:p>
      <w:pPr>
        <w:pStyle w:val="Heading2"/>
      </w:pPr>
      <w:r>
        <w:t>Erwägungen</w:t>
      </w:r>
    </w:p>
    <w:p>
      <w:r>
        <w:rPr>
          <w:b/>
        </w:rPr>
        <w:t>E. 1</w:t>
      </w:r>
    </w:p>
    <w:p>
      <w:r>
        <w:t>La décision attaquée a trait à des travaux réalisés sans autorisation, en zone agricole et alpestre. Le recourant conteste la décision attaquée en ce qui concerne les éléments dont la remise en état est exigée. Il ne conteste pas la décision en tant qu'elle porte sur la régularisation du couvert du barbecue, des réfections intérieures et des rénovations extérieures du bâtiment ECA 655, de sorte que ces derniers éléments ne seront pas examinés.</w:t>
      </w:r>
    </w:p>
    <w:p>
      <w:r>
        <w:rPr>
          <w:b/>
        </w:rPr>
        <w:t>E. 2</w:t>
      </w:r>
    </w:p>
    <w:p>
      <w:r>
        <w:t>a) Conformément à l'art. 16 al. 1 de la loi fédérale sur l'aménagement du territoire du 22 juin 1979 (LAT; RS 700),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Elles comprennent les terrains qui se prêtent à l'exploitation agricole ou à l'horticulture productrice et sont nécessaires à l'accomplissement des différentes tâches dévolues à l'agriculture (lettre a) et les terrains qui, dans l'intérêt général, doivent être exploités par l'agriculture (lettre b). Selon l'art. 22 LAT, aucune construction ou installation ne peut être créée ou transformée sans autorisation de l'autorité compétente (al. 1). L'autorisation est délivrée si la construction ou l'installation est conforme à l'affectation de la zone (art. 22 al. 2 let. a) et si le terrain est équipé (art. 22 al. 2 let. b). L'art. 103 al. 1 de la loi vaudoise du 4 décembre 1985 sur l'aménagement du territoire et les constructions (LATC; RSV 700.11) prévoit pour sa part qu'aucun travail de construction ou de démolition en surface ou en sous-sol, modifiant de façon sensible la configuration, l'apparence ou l'affectation d'un terrain ou d'un bâtiment, ne peut être exécuté sans avoir été autorisé. b) Pour tous les projets de construction situés hors de la zone à bâtir, il incombe à l'autorité cantonale compétente de décider si ceux-ci sont conformes à l'affectation de la zone ou si une dérogation peut être accordée (art. 25 al. 2 LAT). La municipalité ne peut pas, sans autorisation spéciale de l'autorité cantonale, octroyer un permis de construire (cf. art. 81 et 120 LATC). Dans le canton de Vaud, cette compétence est déléguée au SDT. c) Aux termes de l'art. 16a al. 1, 1 ère phrase, LAT, sont conformes à l'affectation de la zone agricole les constructions et installations nécessaires à l'exploitation agricole ou à l'horticulture productrice. Cette définition correspond à celle que la jurisprudence avait élaborée sur la base de l'ancien art. 16 LAT: seules les constructions dont la destination correspond à la vocation agricole du sol peuvent donner lieu à une autorisation ordinaire au sens de l'art. 22 LAT précité. Le sol doit être le facteur de production primaire et indispensable et les modes d'exploitation dans lesquels le sol ne joue pas un rôle essentiel ne sont pas agricoles (cf. ATF 125 II 278 consid. 3a p. 281 et les arrêts cités; CDAP AC.2007.0034 du 22 janvier 2009 consid. 3a; AC.2007.0037 du 11 janvier 2008 consid. 6a). L'art. 34 al. 5 de l'ordonnance du 28 juin 2000 sur l'aménagement du territoire (OAT; RS 700.1) précise que les constructions et installations qui servent à l'agriculture pratiquée en tant que loisir ne sont pas réputées conformes à l'affectation de la zone agricole. d) En l'espèce, il n'est pas contesté que les constructions et installations litigieuses, n'ayant pas de lien avec une exploitation agricole, ne pouvaient être autorisées en application de l'art. 22 al. 2 let. a LAT comme conformes à l'affectation de la zone au sens des art. 16a LAT et 34 OAT. Dès lors, il convient d'examiner si elles pouvaient être régularisées a posteriori en application des art. 24e et 24c LAT, comme le fait valoir le recourant.</w:t>
      </w:r>
    </w:p>
    <w:p>
      <w:r>
        <w:rPr>
          <w:b/>
        </w:rPr>
        <w:t>E. 3</w:t>
      </w:r>
    </w:p>
    <w:p>
      <w:r>
        <w:t>Les installations extérieures peuvent servir à l'utilisation des animaux à titre de loisir pour autant que cela n'occasionne pas de transformations ni de nouvelles incidences sur le territoire et l'environnement.</w:t>
      </w:r>
    </w:p>
    <w:p>
      <w:r>
        <w:rPr>
          <w:b/>
        </w:rPr>
        <w:t>E. 4</w:t>
      </w:r>
    </w:p>
    <w:p>
      <w:r>
        <w:t>Les clôtures qui servent au pacage et qui n'ont pas d'incidences négatives sur le paysage sont autorisées aussi dans les cas où les animaux sont détenus en zone à bâtir.</w:t>
      </w:r>
    </w:p>
    <w:p>
      <w:r>
        <w:rPr>
          <w:b/>
        </w:rPr>
        <w:t>E. 5</w:t>
      </w:r>
    </w:p>
    <w:p>
      <w:r>
        <w:t>Les autorisations prévues par le présent article ne peuvent être délivrées que si les conditions prévues à l'art. 24 d , al. 3, sont remplies.</w:t>
      </w:r>
    </w:p>
    <w:p>
      <w:r>
        <w:rPr>
          <w:b/>
        </w:rPr>
        <w:t>E. 6</w:t>
      </w:r>
    </w:p>
    <w:p>
      <w:r>
        <w:t>L'aire de sortie toutes saisons ne peut être séparée de l'écurie que pour des raisons impératives. La surface admissible se détermine selon l'art. 34b, al. 3, let. b.</w:t>
      </w:r>
    </w:p>
    <w:p>
      <w:r>
        <w:rPr>
          <w:b/>
        </w:rPr>
        <w:t>E. 7</w:t>
      </w:r>
    </w:p>
    <w:p>
      <w:r>
        <w:t>Le recourant conteste l'émolument de 1'960 francs mis à sa charge par l'autorité intimée, invoquant son caractère disproportionné. a) Selon l'art. 11a du règlement fixant les émoluments en matière administrative, du 8 janvier 2001 (RE-Adm; RSV 172.55.1), un émolument allant de 500 fr. à 10'000 fr. est perçu pour les décisions de suspension de travaux, de remise en état et toutes autres décisions, prestations, expertises liées à une construction illicite hors de la zone à bâtir ainsi que les frais de gestion du dossier. Le RE-Adm se base sur l’art. 1 de la loi vaudoise du 18 décembre 1934 chargeant le Conseil d’Etat de fixer, par voie d’arrêtés, les émoluments à percevoir pour les actes ou décisions émanant du Conseil d’Etat ou de ses départements (LEMO; RSV 172.55). Cette disposition confère à l’art. 11a RE-Adm une base légale suffisante, dès lors que l’émolument est versé à raison des frais engendrés par le prononcé d’une décision formelle (CDAP AC.2016.0279 du 12 juillet 2017 consid. 6; AC.2007.0257 du 8 mai 2009, consid. 7a). L’émolument représente la contrepartie de la fourniture d’un service par l’Etat (ATF 135 I 130 consid. 2). Comme sous-catégorie des contributions causales, l’émolument doit obéir au principe de l’équivalence, expression du principe de la proportionnalité en matière de contributions publiques, qui veut que le montant de la contribution exigée soit en rapport avec la valeur objective de la prestation fournie. Pour que le principe de l'équivalence soit respecté, il faut que l'émolument soit raisonnablement proportionné à la prestation de l'administration, ce qui n'exclut cependant pas une certaine schématisation (cf. AC.2011.0220 du 10 janvier 2013 consid. 6b et les références). b) En l'occurrence, le SDT a détaillé les postes de l'émolument requis. Le nombre annoncé de quatorze heures de travail à 140 fr. de l'heure comprend l'étude et l'instruction du dossier (quatre heures), la rédaction ( huit heures ), et la gestion du dossier (deux heures). Or, ce chiffre n'apparaît pas excessif compte tenu de la nature et de la complexité de la cause. Il convient de rappeler que c'est en effectuant sans droit des travaux que le recourant a généré le travail que l'autorité intimée a dû effectuer. Il en résulte que le montant de l'émolument n'est pas disproportionné et peut dès lors être confirmé.</w:t>
      </w:r>
    </w:p>
    <w:p>
      <w:r>
        <w:rPr>
          <w:b/>
        </w:rPr>
        <w:t>E. 8</w:t>
      </w:r>
    </w:p>
    <w:p>
      <w:r>
        <w:t>Le recourant considère que le délai de trois mois accordé pour la remise en état est trop court. Il demande un délai de six mois. Il appartiendra à l'autorité intimée de fixer un nouveau délai d'exécution et une nouvelle date de séance sur place en tenant compte de cette demande.</w:t>
      </w:r>
    </w:p>
    <w:p>
      <w:r>
        <w:rPr>
          <w:b/>
        </w:rPr>
        <w:t>E. 9</w:t>
      </w:r>
    </w:p>
    <w:p>
      <w:r>
        <w:t>Il résulte des considérants qui précèdent que le recours doit être partiellement admis. En principe, vu l'issue du litige, une partie des frais de la cause devraient être mis à la charge du recourant. Toutefois, dès lors qu'il a été mis au bénéfice de l'assistance judiciaire, ces frais, arrêtés à 2'500 fr., seront laissés à la charge de l'Etat (cf. art. 122 al. 1 let. b du code de procédure civile du 19 décembre 2008 [CPC; RS 272], applicable par renvoi de l'art. 18 al. 5 de la loi du 28 octobre 2008 sur la procédure administrative [LPA-VD; RSV 173.36]). L'Etat de Vaud, par la caisse du SDT, versera au recourant des dépens légèrement réduits pour l'intervention de son avocat (art. 55 al. 1 LPA-VD), arrêtés à 2'000 francs. Il convient enfin de statuer sur l'indemnité due au conseil d'office du recourant (art. 18 al. 5 LPA-VD, art. 39 al. 5 du Code de droit privé judiciaire vaudois du 12 janvier 2010 [CDPJ; BLV 211.02], art. 2 al. 4 du règlement du Tribunal cantonal du 7 décembre 2010 sur l'assistance judiciaire en matière civile [RAJ; BLV 211.02.3]). Le conseil d'office peut prétendre à un tarif horaire de 180 fr. en tant qu'avocat (cf. art. 2 al. 1 let. a RAJ, applicable par renvoi de l'art. 18 al. 5 LPA-VD) ainsi qu'à un remboursement de ses débours fixés forfaitairement à 5% du défraiement hors taxe en première instance judiciaire (cf. art. 3bis al. 1 RAJ). En l'occurrence, l'indemnité de Me Luc del Rizzo peut être arrêtée, au vu de la liste des opérations produite, à 3'165 fr. (17,35 heures x 180 fr.), montant auquel s'ajoutent 158 fr. 25 de débours (3'165 fr. x 5%). Compte tenu de la TVA au taux de 7,7%, l’indemnité totale s'élève ainsi à 3'555 fr. 90, dont à déduire le montant perçu ci-dessus à titre de dépens. L'indemnité de conseil d'office est supportée par le canton (cf. art. 122 al. 1 let. b CPC, applicable par renvoi de l'art. 18 al. 5 LPA-VD), le recourant étant rendu attentif au fait qu'il sera tenu de rembourser les montants ainsi avancés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