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AC.2018.0138 vom 21. Januar 2019</w:t>
      </w:r>
    </w:p>
    <w:p>
      <w:r>
        <w:t>VD Tribunal cantonal, 2019-01-21, FR</w:t>
      </w:r>
    </w:p>
    <w:p>
      <w:r>
        <w:rPr>
          <w:b/>
        </w:rPr>
        <w:t xml:space="preserve">Quelle: </w:t>
      </w:r>
      <w:r>
        <w:t>https://mcp.opencaselaw.ch/entscheid/vd_omni_AC.2018.0138</w:t>
      </w:r>
    </w:p>
    <w:p>
      <w:r>
        <w:t>FR: VD_OMNI AC.2018.0138 du 21 janvier 2019</w:t>
      </w:r>
    </w:p>
    <w:p>
      <w:r>
        <w:t>IT: VD_OMNI AC.2018.0138 del 21 gennaio 2019</w:t>
      </w:r>
    </w:p>
    <w:p>
      <w:pPr>
        <w:pStyle w:val="Heading2"/>
      </w:pPr>
      <w:r>
        <w:t>Regeste</w:t>
      </w:r>
    </w:p>
    <w:p>
      <w:r>
        <w:t>A.________, B.________/Municipalité d'Echandens | Refus de la municipalité d'entrer en matière sur une demande de préavis concernant un avant-projet d'implantation pour un bâtiment ne respectant pas l'emprise au sol autorisée par le règlement communal. Question laissée ouverte de savoir si la municipalité pouvait refuser le projet sans mise à l'enquête publique. En réalité, les recourants n'ont pas encore ouvert la procédure de permis d’implantation, mais ont déposé une simple demande de renseignements quant à l'admissibilité du projet, sur laquelle la municipalité a pris position. Sa réponse ne peut donc pas être assimilée à une décision au sens de l'art. 3 LPA-VD, même si elle est munie à tort de l'indication des voies de droit. Recours irrecevable.</w:t>
      </w:r>
    </w:p>
    <w:p>
      <w:pPr>
        <w:pStyle w:val="Heading2"/>
      </w:pPr>
      <w:r>
        <w:t>Erwägungen</w:t>
      </w:r>
    </w:p>
    <w:p>
      <w:r>
        <w:rPr>
          <w:b/>
        </w:rPr>
        <w:t>E. 1</w:t>
      </w:r>
    </w:p>
    <w:p>
      <w:r>
        <w:t>La lettre de la municipalité du 11 avril 2018 constate que le projet litigieux n’est pas admissible sous l’angle de la réglementation communale. Dans ses écritures, l’autorité communale explique qu’elle a rendu d’emblée une décision négative, sans mise à l’enquête publique, car le projet est manifestement contraire au périmètre d’implantation et à la surface bâtie maximale autorisés. Les recourants soutiennent que la lettre de la municipalité fait suite à une demande de renseignements concernant un avant-projet d’intention, qui était encore appelé à évoluer et auquel étaient joints des plans dépourvus de signature. Ils soulignent que la procédure de demande de permis de construire n’a pas été observée, de sorte que la lettre de la municipalité ne peut pas être qualifiée de "décision", mais seulement de prise de position. Ils allèguent par ailleurs pouvoir bénéficier d’une dérogation aux dispositions réglementaires applicables.</w:t>
      </w:r>
    </w:p>
    <w:p>
      <w:r>
        <w:rPr>
          <w:b/>
        </w:rPr>
        <w:t>E. 2</w:t>
      </w:r>
    </w:p>
    <w:p>
      <w:r>
        <w:t>de ce dernier. Or la lecture des plans de situation fournis par les recourants fait apparaître l’immeuble prévu comme démesuré au regard de ces prescriptions. Orienté plein nord et situé tout à l’est de la parcelle, le long de la limite des constructions et du chemin des Platanes, il ne correspond pas du tout à l’empreinte du bâtiment existant. La surface bâtie est de plus largement supérieure à celle qui est autorisée, avec des façades environ une fois et demie plus larges et près de deux fois plus longues. Le projet contrevient donc manifestement aux dispositions réglementaires applicables, sur des points d’importance. Les recourants ne le contestent pas. Ils affirment en revanche que la construction devrait pouvoir être admise par le biais d'une dérogation. Ils se prévalent de l’existence de précédents ailleurs dans la zone du village et invoquent les buts actuels d’aménagement du territoire tendant à la densification du milieu bâti et à la lutte contre le mitage du territoire. La réalisation de l’immeuble projeté ne paraît cependant pas pouvoir être assimilée à une dérogation de minime importance au dépassement du périmètre d’implantation défini par les plans spéciaux. La surface maximale autorisée est dépassée et il n’est pas exclu que des intérêts de tiers soient touchés. Rien n’indique du reste que le fait d'autoriser les travaux répondrait à un quelconque intérêt public ou que cette solution s'imposerait pour éviter les effets rigoureux de la réglementation applicable, voire pour refléter l’intention présumée du législateur. Les recourants ne semblent donc pas pouvoir s’appuyer sur les art. 63 al. 2 RPGA et 85 al. 1 LATC pour bénéficier d’une dérogation. En définitive, le projet litigieux paraît soulever des problèmes de conformité au règlement communal tellement évidents que la municipalité semblait fondée à le refuser sans mise à l’enquête publique préalable. Cette question peut toutefois demeurer indécise puisqu’en réalité, les recourants n’ont pas déposé de demande d’autorisation préalable d’implantation, de nature à ouvrir la procédure des art. 108 ss LATC.</w:t>
      </w:r>
    </w:p>
    <w:p>
      <w:r>
        <w:rPr>
          <w:b/>
        </w:rPr>
        <w:t>E. 3</w:t>
      </w:r>
    </w:p>
    <w:p>
      <w:r>
        <w:t>a) Aux termes de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La notion de décision est définie à l'art. 3 LPA-VD. On entend par là toute mesure prise par une autorité dans un cas d'espèce, en application du droit public, et ayant pour objet de créer, de modifier ou d'annuler des droits et obligations (al. 1 let. a), de constater l'existence, l'inexistence ou l'étendue de droits et obligations (al. 1 let. b), ou de rejeter ou de déclarer irrecevables des demandes tendant à créer, modifier, annuler ou constater des droits et obligations (al. 1 let. c). L’art. 3 LPA-VD définit la notion de décision de la même manière que l'art. 5 al. 1 de la loi fédérale sur la procédure administrative (PA; RS 172.021). Cela vise donc tout acte individuel et concret d'une autorité, qui règle de manière unilatérale et contraignante des droits ou des obligations ( ATF 135 II 38 consid. 4.3). En d'autres termes, constitue une décision un acte étatique qui touche la situation juridique de l'intéressé, l'astreignant à faire, à s'abstenir ou à tolérer quelque chose, ou qui règle d'une autre manière obligatoire ses rapports avec l'Etat ( ATF 135 II 22 consid. 1.2). En revanche, de simples déclarations, comme des opinions, des communications, des prises de position, des recommandations et des renseignements n'entrent pas dans la catégorie des décisions, faute de caractère juridique contraignant (TF 2C_282/2017 du 4 décembre 2017 consid. 2.1). b) En l’occurrence, les recourants ont contacté à deux reprises l’administration communale par le biais de leur architecte, pour savoir s’il était envisageable de réaliser un nouvel immeuble d’une ampleur plus importante que celui existant sur leur bien-fonds. La deuxième fois, ils lui ont transmis par courrier électronique des plans de situation et des plans d’architecte concernant les étages et les façades du bâtiment envisagé. Ce faisant, ils n’ont pas soumis une demande formelle d’autorisation d’implantation à la municipalité, sur laquelle celle-ci aurait été appelée à se déterminer. Plus particulièrement, ils n’ont pas fourni le questionnaire de demande requis par l’art. 70 RLATC. En réalité, les recourants se sont contentés de demander au bureau technique communal de leur donner son avis concernant un avant-projet, comme le prévoit d’ailleurs l’art. 68 RPGA. Dans son courrier électronique du 19 mars 2018 intitulé " consultation ", l’architecte a bien précisé qu’il présentait un " avant-projet d’intention ", qui était encore appelé à " évoluer et s’adapter à la topographie du terrain ". Il a invité la commune à prendre position sur " cette proposition de principe ". La demande des recourants correspond ainsi à une simple demande de préavis ou de renseignements quant à l’admissibilité du projet, dans son principe, au regard du règlement communal, et non à un dossier en bonne et due forme qui aurait pu être mis à l’enquête. La municipalité a néanmoins considéré qu’il lui incombait de répondre par une décision proprement dite, comportant les voies de droit auprès du tribunal de céans. Mais à ce stade de l’élaboration du projet, elle n’avait pas encore à envisager la question d’une mise à l’enquête publique et, le cas échéant, d’un refus d’entrer en matière dans le cadre d’une décision formelle. La municipalité ne peut être en mesure de statuer qu’à l’issue de la procédure prévue par les art. 108 ss LATC. Il faut donc retenir que sa lettre est dépourvue d’effet contraignant. Il s’agit en réalité d’une prise de position quant à l’interprétation de la réglementation communale et quant à la possibilité d’octroyer la dérogation requise. Elle n’empêche pas les recourants de demander une autorisation d’implantation, en respectant les règles de procédure administrative applicables. Dans ces conditions, la lettre du 11 avril 2018 ne saurait être assimilée à une décision au sens de l’art. 3 LPA-VD, quand bien même elle est munie à tort de l’indication des voies de recours (exigence applicable aux décisions administratives proprement dites, cf. art. 42 let. f LPA-VD). Il s’ensuit que le recours, qui n’est pas dirigé contre une décision attaquable, est irrecevable (art. 92 al. 1 LPA-VD a contrario ). c) Vu ce qui précède, il n’y a pas lieu d’entrer en matière sur les griefs au fond soulevés par les recourants, ni de donner suite aux mesures d’instruction requises (soit en particulier la production, par la municipalité, de la totalité des permis de construire qui ont été délivrés depuis 2009 à des propriétaires de parcelles situées dans le périmètre de la zone du village, ainsi que la tenue d’une inspection locale).</w:t>
      </w:r>
    </w:p>
    <w:p>
      <w:r>
        <w:rPr>
          <w:b/>
        </w:rPr>
        <w:t>E. 4</w:t>
      </w:r>
    </w:p>
    <w:p>
      <w:r>
        <w:t>Il résulte des considérants qui précèdent que le recours est irrecevable. Compte tenu de l'issue du recours, il se justifie de mettre des frais réduits à la charge des recourants, solidairement entre eux (art. 49 al. 1 et 51 al. 2 LPA-VD). Même si la municipalité a agi avec le concours d’un avocat, il n’y a pas lieu de lui allouer des dépens, car c’est en raison de la procédure qu’elle a suivi que les recourants ont interjeté recours (art. 55 al. 1 a contrario et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