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AC.2018.0127 vom 21. Januar 2019</w:t>
      </w:r>
    </w:p>
    <w:p>
      <w:r>
        <w:t>VD Tribunal cantonal, 2019-01-21, FR</w:t>
      </w:r>
    </w:p>
    <w:p>
      <w:r>
        <w:rPr>
          <w:b/>
        </w:rPr>
        <w:t xml:space="preserve">Quelle: </w:t>
      </w:r>
      <w:r>
        <w:t>https://mcp.opencaselaw.ch/entscheid/vd_omni_AC.2018.0127</w:t>
      </w:r>
    </w:p>
    <w:p>
      <w:r>
        <w:t>FR: VD_OMNI AC.2018.0127 du 21 janvier 2019</w:t>
      </w:r>
    </w:p>
    <w:p>
      <w:r>
        <w:t>IT: VD_OMNI AC.2018.0127 del 21 gennaio 2019</w:t>
      </w:r>
    </w:p>
    <w:p>
      <w:pPr>
        <w:pStyle w:val="Heading2"/>
      </w:pPr>
      <w:r>
        <w:t>Regeste</w:t>
      </w:r>
    </w:p>
    <w:p>
      <w:r>
        <w:t>Département du territoire et de l’environnement (DTE)/Municipalité d'Arzier-Le Muids, A.________, B.________ et C.________ | Opposition du DTE/SDT à un projet de construction de deux villas sur une parcelle en zone de villas, pour le motif que la zone à bâtir communale est surdimensionnée; délivrance du permis et recours du DTE/SDT. En cours de procédure devant la CDAP, une zone réservée cantonale a été instaurée sur la parcelle concernée. - Pas d'intérêt public majeur à appliquer le nouveau droit, soit la LATC révisée qui ne prévoit plus expressément la possibilité pour le département de s'opposer à un projet de construction au motif qu'il compromet un projet de planification (consid. 2). - Selon la jurisprudence relative à l'art. 77 aLATC, invoqué par le DTE/SDT dans son opposition, une municipalité ne peut pas délivrer un permis de construire lorsque le SDT s'est opposé à un projet de construction au motif qu'il envisagerait la mise à l'enquête d'une zone réservée. La municipalité, qui ne conteste du reste pas le surdimensionnement de la zone à bâtir communale, ne pouvait ainsi pas délivrer de permis de construire (consid. 3). Recours admis.</w:t>
      </w:r>
    </w:p>
    <w:p>
      <w:pPr>
        <w:pStyle w:val="Heading2"/>
      </w:pPr>
      <w:r>
        <w:t>Erwägungen</w:t>
      </w:r>
    </w:p>
    <w:p>
      <w:r>
        <w:rPr>
          <w:b/>
        </w:rPr>
        <w:t>E. 1</w:t>
      </w:r>
    </w:p>
    <w:p>
      <w:r>
        <w:t>La décision d'une municipalité accordant un permis de construire (cf. art. 103 et 104 LATC) peut faire l'objet d'un recours de droit administratif au Tribunal cantonal, selon la procédure des art. 92 ss de la loi du 28 octobre 2008 sur la procédure administrative (LPA-VD; BLV 173.36). Le Département du territoire et de l'environnement, qui est en charge de l'aménagement du territoire (art. 4 al. 2 LATC), a qualité pour recourir (art. 104a LATC en relation avec l'art. 75 let. b LPA-VD). Le recours a été formé en temps utile (art. 95 LPA-VD) et il satisfait aux exigences formelles de l'art. 79 LPA-VD (par renvoi de l'art. 99 LPA-VD). Il y a lieu d'entrer en matière.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S'agissant de l'effet des plans en voie d'élaboration, cette disposition a été remplacée par l'art. 47 LATC qui a la teneur suivante : "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Il résulte de ce qui précède que, dans sa nouvelle mouture, la LATC ne prévoit plus expressément la possibilité pour le département de s'opposer à la délivrance d'un permis de construire lorsqu'un plan cantonal d'affectation ou une zone réservée cantonale est envisagée. b) Il convient dès lors de déterminer quel est le droit applicable à la présente cause. Faute d'une disposition transitoire spécifique (cf. art. 3 de la novelle du 17 avril 2018 qui ne contient aucune disposition relative à l'art. 47 LATC), il convient d'appliquer les principes généraux en la matière. Selon la jurisprudence constante, l'autorité de recours doit appliquer le droit en vigueur au jour où l'autorité de première instance a statué. Font exception à cette règle les cas dans lesquels une application immédiate du nouveau droit répond à un intérêt public prépondérant (ATF 139 II 243 consid. 11.1; ATF 135 II 384 consid. 2.3; ATF 125 II 591 consid. 5e/aa). Cette pratique s'est formée sur une analogie avec les dispositions du Titre final du CC, dont l'art. 1 prévoit en principe la non-rétroactivité des lois et l'art. 2 prévoit que les règles établies dans l'intérêt de l'ordre public et des moeurs sont applicables dès leur entrée en vigueur à tous les faits pour lesquels la loi n'a pas prévu d'exception. Pour déterminer si une application immédiate du nouveau droit s'impose en instance de recours, il faut que la nouvelle règle réponde à un intérêt public majeur, dont l'application ne souffre aucun délai. Il convient ensuite de tenir compte du pouvoir d'examen de l'instance de recours auprès de laquelle la cause est pendante: un pouvoir d'examen complet en légalité peut déjà suffire à une application immédiate du nouveau droit (ATF 141 II 393). Ainsi, la jurisprudence a notamment considéré que les dispositions de la révision de la LAT entrées en vigueur le 1 er mai 2014 au sujet du redimensionnement des zones à bâtir étaient applicables immédiatement (ATF 141 II 393 précité consid. 3). Il ne résulte pas des travaux préparatoires de la novelle du 17 avril 2018 (Exposé des motifs et projet de loi du Conseil d'Etat du 5 octobre 2016, p. 31) que la suppression de la possibilité pour le département de s'opposer à un projet de construction au motif qu'il compromet un projet de planification répondrait à un intérêt public majeur. Il semble plutôt que cette modification du système ait été dictée par la volonté de simplifier la procédure (EMPL précité, p. 5; voir aussi  AC.2017.0237 du 29 novembre 2018 consid. 2). Il n'y a dès lors pas de motif de s'écarter du principe général selon lequel le droit applicable est celui qui était en vigueur au moment où la municipalité a statué. 3. Il convient dès lors d'examiner si, au regard de l'art. 77 aLATC, c'est à juste titre que la municipalité a délivré le permis de construire malgré l'opposition du département. a) Selon la jurisprudence relative à l'art. 77 al. 1 dernière phrase aLATC, une municipalité ne peut pas délivrer un permis de construire lorsque le SDT s'est opposé à un projet de construction au motif qu'il envisageait la mise à l'enquête d'une zone réservée. Dans cette hypothèse, la municipalité doit rendre une décision de refus du permis de construire (cf. arrêts AC.2016.0326 du 2 octobre 2017 consid. 1b; AC.2016.0270 du 5 septembre 2017 consid. 2c; AC.2017.0071 du 15 août 2017 consid. 3b/aa; AC.2017.0250 du 15 janvier 2018 consid. 2). b) En l'espèce, le département a invoqué l'art. 77 aLATC dans son opposition, déposée par l'intermédiaire du SDT. Dans ces conditions, conformément à la jurisprudence précitée, la municipalité ne pouvait pas délivrer de permis de construire. Il n'est du reste pas contesté que la zone à bâtir de la commune en cause est surdimensionnée et qu'elle doit en conséquence être réduite. A noter encore que les délais prévus par l'art. 77 al. 2 et al. 3 aLATC n'ont pas été dépassés s'agissant de la mise à l'enquête et de l'adoption de la zone réservée cantonale. Il n'est pour le surplus pas nécessaire d'examiner si le département pouvait également invoquer l'art. 134 LATC pour s'opposer au projet litigieux. 4. Bien fondé, le recours doit être admis et la décision de la municipalité du 6 mars 2018 octroyant le permis de construire annulée. Un émolument judiciaire réduit, vu les circonstances de la cause, doit être mis à la charge des constructeurs. Même si ceux-ci ont déclaré ne pas être parties pour éviter des frais et n'ont pas pris de conclusions formelles dans la présente procédure, ils n'ont pas renoncé à leur projet de construction, voulant implicitement que la décision attaquée soit confirmée (art. 49 LPA-VD). A cause de l'annulation du permis de construire, ils n'obtiennent pas ce qu'ils avaient demandé dans la procédure administrative (cf. art. 49 LPA-VD).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(AC.2017.0009 du 9 février 2018; AC.2014.0389 du 15 décembre 2015 consid. 9; AC.2012.0241 du 17 juin 2013 consid. 8 et les références). Il n'y a pas lieu d'allouer des dépens au département recourant, qui n'a pas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