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AC.2018.0105 vom 30. August 2019</w:t>
      </w:r>
    </w:p>
    <w:p>
      <w:r>
        <w:t>VD Tribunal cantonal, 2019-08-30, FR</w:t>
      </w:r>
    </w:p>
    <w:p>
      <w:r>
        <w:rPr>
          <w:b/>
        </w:rPr>
        <w:t xml:space="preserve">Quelle: </w:t>
      </w:r>
      <w:r>
        <w:t>https://mcp.opencaselaw.ch/entscheid/vd_omni_AC.2018.0105</w:t>
      </w:r>
    </w:p>
    <w:p>
      <w:r>
        <w:t>FR: VD_OMNI AC.2018.0105 du 30 août 2019</w:t>
      </w:r>
    </w:p>
    <w:p>
      <w:r>
        <w:t>IT: VD_OMNI AC.2018.0105 del 30 agosto 2019</w:t>
      </w:r>
    </w:p>
    <w:p>
      <w:pPr>
        <w:pStyle w:val="Heading2"/>
      </w:pPr>
      <w:r>
        <w:t>Regeste</w:t>
      </w:r>
    </w:p>
    <w:p>
      <w:r>
        <w:t>A.________/Municipalité de Montreux, B.________, C.________ | En l'absence de disposition transitoire expresse, la légalité d'une décision doit en principe être examinée selon le droit applicable au moment où elle a été prise, sauf motif impératif imposant l'application immédiate du nouveau droit. La décision attaquée, du 9 février 2018, a été rendue avant l'entrée en vigueur, le 21 mars 2018, du nouveau plan général d'affectation de Montreux. Il importe peu que cette dernière date n'ait été publiée que près d'un an plus tard par le Service du développement territorial dans la Feuille des avis officiels du 25 janvier 2019. Application de l'ancien RPE 1972 de Montreux. Constat que le bâtiment en cours de construction épuise le potentiel constructible de la parcelle. Confirmation de la décision municipale refusant le permis de construire pour le motif que le passage couvert projeté ne peut être considéré comme souterrain (enterré au 3/4 selon RPE): ni le dossier d'enquête ni les documents fournis après l'audience par le recourant ne permettent d'établir le niveau originel du terrain naturel. Recours au TF rejeté par arrêt 1C_523/2019 du 1er avril 2021.</w:t>
      </w:r>
    </w:p>
    <w:p>
      <w:pPr>
        <w:pStyle w:val="Heading2"/>
      </w:pPr>
      <w:r>
        <w:t>Erwägungen</w:t>
      </w:r>
    </w:p>
    <w:p>
      <w:r>
        <w:rPr>
          <w:b/>
        </w:rPr>
        <w:t>E. 1</w:t>
      </w:r>
    </w:p>
    <w:p>
      <w:r>
        <w:t>Suite à une décision de cessation de travaux de la municipalité du 26 octobre 2011, la construction du bâtiment D, sur la parcelle 12593, a été interrompue. Actuellement, le bâtiment D est construit jusqu'à la dalle brute correspondant au 2 ème étage, soit au niveau 487,20 m, comme cela ressort de la lettre de l'ingénieur géomètre officiel Michel Cardinaux du</w:t>
      </w:r>
    </w:p>
    <w:p>
      <w:r>
        <w:rPr>
          <w:b/>
        </w:rPr>
        <w:t>E. 5</w:t>
      </w:r>
    </w:p>
    <w:p>
      <w:r>
        <w:t>Le recourant fait aussi valoir que le passage couvert était dessiné sur les plans sur la base desquels le permis de construire complémentaire a été délivré le 8 février 2010. Or, le permis de construire complémentaire délivré le 8 février 2010 portait sur la parcelle 5426. Le recourant ne peut donc s'en prévaloir concernant un élément qui était représenté sur les plans à titre indicatif dès lors qu'il concernait une autre parcelle.</w:t>
      </w:r>
    </w:p>
    <w:p>
      <w:r>
        <w:rPr>
          <w:b/>
        </w:rPr>
        <w:t>E. 6</w:t>
      </w:r>
    </w:p>
    <w:p>
      <w:r>
        <w:t>C'est en vain que le recourant fait valoir que le passage entre les maisons B et C sur la parcelle 5426 n'aurait pas été pris en compte dans la surface à bâtir des immeubles A à C. Le fait n'est pas établi et même s'il l'était, il ne suffirait pas à fonder une prétention du recourant à faire appliquer en sa faveur le principe de l'égalité dans l'illégalité, qui suppose une pratique dérogatoire constante de l'autorité.</w:t>
      </w:r>
    </w:p>
    <w:p>
      <w:r>
        <w:rPr>
          <w:b/>
        </w:rPr>
        <w:t>E. 7</w:t>
      </w:r>
    </w:p>
    <w:p>
      <w:r>
        <w:t>Enfin, c'est également en vain que dans son recours, le recourant croit pouvoir tirer d'un précédent arrêt de la CDAP du 10 mars 2017 qu'obligation lui serait faite d'implanter le passage à l'altitude de 487,25 m: quelle que soit sa rédaction (l'arrêt indique cette altitude au recourant "s'il veut maintenir un cheminement horizontal du bâtiment B au bâtiment D" ), un arrêt de la CDAP ne peut pas avoir pour effet d'imposer avec force de chose jugée la conception architecturale d'un projet futur différent du projet sur lequel il statue.</w:t>
      </w:r>
    </w:p>
    <w:p>
      <w:r>
        <w:rPr>
          <w:b/>
        </w:rPr>
        <w:t>E. 8</w:t>
      </w:r>
    </w:p>
    <w:p>
      <w:r>
        <w:t>Dès lors que le projet ne peut pas être autorisé pour cause de dépassement de la surface bâtie maximale en raison du passage piéton entre les maisons B et D, il n'y a pas lieu de déterminer si, comme le soutient la décision attaquée, l'escalier extérieur qui longe l'ascenseur oblique doit être inclus dans la surface bâtie ni d'examiner le raisonnement curieux de la décision attaquée qui fait abstraction d'une partie de la structure de soutènement enterrée pour aboutir à la conclusion que cette structure n'est pas suffisamment enterrée pour être considérée comme construction souterraine.</w:t>
      </w:r>
    </w:p>
    <w:p>
      <w:r>
        <w:rPr>
          <w:b/>
        </w:rPr>
        <w:t>E. 9</w:t>
      </w:r>
    </w:p>
    <w:p>
      <w:r>
        <w:t>Au vu de ce qui précède, le recours doit être rejeté et la décision attaquée, confirmée. Le recourant, qui succombe, supporte les frais de justice (art. 49 de la loi du 28 octobre 2008 sur la procédure administrative [LPA-VD; RSV 173.36]). La municipalité ainsi que les opposants B.________ et C.________ ont droit à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