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AC.2018.0085 vom 15. Oktober 2018</w:t>
      </w:r>
    </w:p>
    <w:p>
      <w:r>
        <w:t>VD Tribunal cantonal, 2018-10-15, FR</w:t>
      </w:r>
    </w:p>
    <w:p>
      <w:r>
        <w:rPr>
          <w:b/>
        </w:rPr>
        <w:t xml:space="preserve">Quelle: </w:t>
      </w:r>
      <w:r>
        <w:t>https://mcp.opencaselaw.ch/entscheid/vd_omni_AC.2018.0085</w:t>
      </w:r>
    </w:p>
    <w:p>
      <w:r>
        <w:t>FR: VD_OMNI AC.2018.0085 du 15 octobre 2018</w:t>
      </w:r>
    </w:p>
    <w:p>
      <w:r>
        <w:t>IT: VD_OMNI AC.2018.0085 del 15 ottobre 2018</w:t>
      </w:r>
    </w:p>
    <w:p>
      <w:pPr>
        <w:pStyle w:val="Heading2"/>
      </w:pPr>
      <w:r>
        <w:t>Regeste</w:t>
      </w:r>
    </w:p>
    <w:p>
      <w:r>
        <w:t>A.________, B.________, C.________/Municipalité de Morrens, Direction générale de la mobilité et des routes DGMR | Grief relatif à un accès insuffisant. Le chemin d'accès peut accueillir le trafic supplémentaire induit par le projet litigieux, notamment par la présence d'un trottoir chanfreiné qui permet à un véhicule d'empiéter à vitesse lente pour gérer le croisement. En outre, la visibilité est suffisante. L'augmentation de trafic devrait par ailleurs être limitée. De plus, les manœuvres auront vraisemblablement lieu avant tout sur le parking, et non sur la route. A cet égard, une signalétique et une information appropriées devrait permettre d'éviter les problèmes. Cas échéant, pour des manifestations de grande ampleur, une intervention de la police pour canaliser le trafic peut être envisagée. Enfin, la sécurité des piétons est garantie de manière suffisante. Rejet du grief.</w:t>
      </w:r>
    </w:p>
    <w:p>
      <w:pPr>
        <w:pStyle w:val="Heading2"/>
      </w:pPr>
      <w:r>
        <w:t>Erwägungen</w:t>
      </w:r>
    </w:p>
    <w:p>
      <w:r>
        <w:rPr>
          <w:b/>
        </w:rPr>
        <w:t>E. 1</w:t>
      </w:r>
    </w:p>
    <w:p>
      <w:r>
        <w:t>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140 II 214 consid. 2.3 p. 219, 139 II 499 consid. 2.2 p. 504, 138 II 162 consid. 2.1.2; arrêt TF 2C_885/2014 du 28 avril 2015 consid. 5.3 et les références). L'intérêt invoqué, qui n'est pas nécessairement un intérêt juridiquement protégé, mais qui peut être un intérêt de fait, doit se trouver, avec l'objet de la contestation, dans un rapport étroit, spécial et digne d'être pris en considération (ATF 142 II 80 consid. 1.4.1 p. 83, 141 II 14 consid. 4.4 p. 29, 140 II 214 consid. 2.1 p. 218).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arrêt TF 2C_869/2012 du 12 février 2013 consid. 5.2).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p. 33; arrêt TF 1C_346/2011 du 1 er février 2012 publié in DEP 2012 p. 692, consid. 2.3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p. 33 s., 133 II 249 consid. 1.3.1 p. 252). Une atteinte particulière est reconnue lorsqu'il faut notamment s'attendre avec certitude ou avec une grande vraisemblance à des immissions sur le fonds voisin en provenance de l'installation (ATF 140 II 214 consid. 2.3 p. 219, 136 II 281 consid. 2.3.1 p. 285; voir aussi ATF 121 II 171 consid. 2b p. 174 et l’arrêt TF 1C_198/2015 du 1 er février 2016 consid. 4.1). c) En l'occurrence, il apparaît qu'à tout le moins la recourante B.________ est propriétaire d'une parcelle voisine (parcelle n° 30) de celle sur laquelle prendra place le projet litigieux. Elle est ainsi touchée dans une mesure et avec une intensité plus grande que l'ensemble des administrés et il convient d'entrer en matière sur le recours.</w:t>
      </w:r>
    </w:p>
    <w:p>
      <w:r>
        <w:rPr>
          <w:b/>
        </w:rPr>
        <w:t>E. 2</w:t>
      </w:r>
    </w:p>
    <w:p>
      <w:r>
        <w:t>Selon les recourants, le projet ne comporterait pas suffisamment de places de parc. L'art. 40a du règlement d'application de la loi du 4 décembre 1985 sur l'aménagement du territoire et les constructions du 19 septembre 1986 (RLATC; RSV 700.11.1)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soit les normes VSS. A défaut de réglementation communale conforme aux normes en vigueur, celles-ci sont applicables aux véhicules motorisés et aux deux-roues légers non motorisés (al. 2). Cependant, le Tribunal cantonal a jugé que l'art. 40a RLATC ne disposait pas d'une base légale suffisante dans la loi du 4 décembre 1985 sur l'aménagement du territoire et les constructions (LATC; RS 700.11) et que les normes VSS ne peuvent être appliquées que si le règlement communal y renvoie directement (AC.2014.0157 du 16 avril 2015 consid. 3c et les références). En l'occurrence, l'art. 102 RPE renvoie aux normes VSS. Il dispose ce qui suit: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Pour l'habitation, la proportion est de deux places de stationnement ou garages par logement. Ces emplacements de stationnement sont fixés en retrait des limites de constructions. Dans certains cas, notamment à des fins de protection du site, la Municipalité peut autoriser le constructeur à aménager des places de stationnement ou des garages sur un autre fonds à condition que ces places soient à une distance utile de l'immeuble auquel elles sont destinées. Ces dispositions sont également applicables dans les cas où une transformation ou un changement d'affectation d'un immeuble existant aurait pour effet d'augmenter les besoins en places de stationnement". La norme VSS SN 640 281 comprend un certain nombre d'articles et d'éléments qui permettent de définir le dimensionnement de l'offre de stationnement pour les voitures, tout en offrant des marges de manoeuvre. En particulier, elle précise que " l'offre en cases de stationnement destinée à une affectation déterminée doit se trouver en règle générale au maximum à 300 mètres et être facilement accessible à pied " (article 6.1 " Objectifs ", p. 8). La mention " en règle générale " confère ainsi à l'autorité qui met en œuvre la norme un certain pouvoir d'appréciation. Il n'est pas contesté par les parties qu'en tenant compte des dix nouvelles places disponibles sur la parcelle n° 86 et des 65 places du parking de la salle Davel, les besoins en stationnement de la nouvelle construction seront largement couverts. Les parties divergent toutefois sur la possibilité de prendre en considération les 65 places du parking de la salle Davel au vu de leur éloignement, qui serait de 390 m en moyenne (de 370 m pour la plus proche à 410 m pour la plus éloignée) selon les recourants. En se basant sur la carte dessinée sur "map search" ( https://map.search.ch/d/dk5zgfj ), on relève une distance de 386 m entre le parking de la salle Davel et l'entrée de la future construction en passant par le sentier piéton et une distance de 395 m si l'on suit le cheminement via le trottoir le long du chemin du Chêne. La municipalité a pour sa part indiqué le 20 septembre 2018 que, vérification faite par un bureau de géomètres, la distance entre le parking de la salle Davel et l'entrée de la future construction serait de 337 m en passant par le sentier piéton (250 m jusqu'à l'entrée de la parcelle n° 86 auxquels il faut ajouter 87 m jusqu'à l'entrée de la future construction) et de 384 m si l'on suit le cheminement via le trottoir le long du chemin du Chêne (254 m jusqu'à l'entrée de la parcelle n° 86 auxquels il faut ajouter 130 m jusqu'à l'entrée de la future construction). Concernant la distance en lien avec l’accès à des arrêts de transport public, la norme SN 640 281 dit que " La distance à pied entre les points de départ et l’arrivée et les dessertes des transports publics qui est jugée acceptable dépend du motif de déplacement. Elle est comprise entre 300 et 500 mètres " (p. 14). La même réflexion s'impose par analogie pour la distance acceptable entre des places de stationnement et les points de départ et l’arrivée, soit l'entrée du nouveau bâtiment. A ce sujet, la norme parle certes d'une distance d'au maximum 300 m, mais précise aussi qu'il s'agit d'un calcul qui s'applique " en règle générale ". On relève également que la norme ne précise pas la manière de calculer cette distance prescrite de 300 m. Si l'on reprend l'analogie avec l'accès à un arrêt de transport public, celui-ci est défini le plus souvent par un rayon de 300 m (respectivement 500 m selon le type de transport) autour de l'arrêt. Or ici, si l'on trace un cercle de 300 m de rayon avec un centre positionné grosso modo à l’entrée du futur bâtiment, ledit cercle englobe l’entier du parking de la salle Davel. Finalement, il convient de constater qu'une distance, comprise entre 340 m et 400 m, qui correspond environ à cinq minutes à pied, est admissible. Il n'y a ainsi pas lieu de remettre en cause l'appréciation de l'autorité intimée et de l'autorité concernée, selon laquelle les 65 places du parking de la salle Davel peuvent être prises en considération en rapport avec la construction projetée. Dès lors que, si l'on suit le cheminement via le trottoir le long du chemin du Chêne la distance est d'environ 400 m, la question de savoir si la commune dispose des servitudes nécessaires pour que le chemin piétonnier puisse être utilisé par le public souffre de demeurer indécise. En cas d'impossibilité d'utiliser le chemin piétonnier, il sera en effet toujours possible de rejoindre l'entrée de la future construction en quelques minutes par la route. Cela étant, on peut relever que, contrairement à ce qui ressort du plan annexé à l'écriture de la municipalité du 20 septembre 2018 (qui indique un passage par la parcelle n° 1563 pour laquelle la commune ne dispose pas de servitude de passage), le trajet effectué lors de l'audience en environ quatre minutes 30 par le chemin piétonnier se situait exclusivement sur les parcelles n° 112 et n° 113 pour lesquelles la commune est au bénéfice d'une servitude de passage. Pour ce qui concerne le chemin piétonnier permettant de relier le parking de la salle Davel et l'entrée du nouveau bâtiment projeté, le tribunal a constaté qu'il était adéquat, notamment par son tracé plat et par son caractère sécurisé. Cela étant, il convient de relever qu'il devra faire l'objet de divers aménagements. En particulier, un éclairage suffisant devra être installé et une signalétique devrait être mise en place, de manière à rendre aisée la compréhension du parcours piétonnier entre le parking et la salle communale.</w:t>
      </w:r>
    </w:p>
    <w:p>
      <w:r>
        <w:rPr>
          <w:b/>
        </w:rPr>
        <w:t>E. 3</w:t>
      </w:r>
    </w:p>
    <w:p>
      <w:r>
        <w:t>Les recourants mettent également en cause l’accès prévu par le projet litigieux. Ils relèvent que l'offre de dix places de parc aux abords de la salle à construire va inciter les usagers à rejoindre en voiture la salle pour utiliser ces places de parc. Le plus souvent, ils devront rebrousser chemin pour aller parquer à la salle Davel, ou parqueront sauvagement aux abords de la salle à construire. L'expérience montrerait aussi que souvent le parcage se fait sur le trottoir de la route d'accès. Sachant qu'il s'agit d'un chemin étroit, tout parcage sur cet accès est susceptible de générer des congestions de trafic, et l'espace réservé aux piétons serait sérieusement diminué.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arrêt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arrêt TF 1C_246/2009 du 1 er février 2010 consid. 2 et les références citées). Les autorités communales et cantonales disposent en ce domaine d'un important pouvoir d'appréciation (ATF 129 II 238 consid. 2 p. 241, 121 I 65 consid. 3a in fine p. 68, 119 Ib 480 consid. 6 p. 488, 116 Ib 159; 96 I 369 consid.</w:t>
      </w:r>
    </w:p>
    <w:p>
      <w:r>
        <w:rPr>
          <w:b/>
        </w:rPr>
        <w:t>E. 4</w:t>
      </w:r>
    </w:p>
    <w:p>
      <w:r>
        <w:t>Les recourants font valoir diverses irrégularités en rapport avec la procédure de mise à l'enquête publique. a) La procédure de délivrance du permis de construire est régie par la LATC ainsi que par son règlement d'application. Pour ouvrir cette procédure, celui qui entend réaliser les travaux doit adresser une demande de permis à la municipalité (art. 108 al. 1 LATC). Cette demande n'est tenue pour régulièrement déposée que lorsque certains plans et pièces sont fournis, qui sont énumérés à l'art. 69 RLATC (cf. art. 108 al. 2 LATC). Il faut en particulier constituer un dossier comprenant un plan de situation extrait du plan cadastral portant diverses indications (art. 69 al. 1 ch. 1 RLATC). Il faut aussi joindre des plans, des coupes et des dessins des façades (art. 69 al. 1 ch. 2, 3 et 4 RLATC) et utiliser une formule officielle de demande de permis (le questionnaire général, complètement rempli, ainsi que les questionnaires particuliers, auxquels renvoie au besoin le questionnaire général, selon l'art. 69 al. 1 ch. 6 RLATC). b) Au dépôt de la demande succède une procédure de mise à l'enquête, qui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AC.2016.0217 du 28 février 2017 consid. 4, AC.2014.0202 du 9 juin 2015 consid. 2b, AC.2014.0400 du 20 mai 2015 consid. 1a, AC.2014.0064 du 30 mars 2015 consid. 1b, AC.2014.0048 du 14 janvier 2015 consid. 2a).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AC.2016.0371 du 19 avril 2017 consid. 4c, AC.2015.0305 du 26 octobre 2016 consid. 3a, AC.2015.0164 du 11 juillet 2016 consid. 5a/bb et les références citées). c) En l'occurrence, les recourants estiment que, quand bien même la rubrique n° 58 du point 31 du questionnaire général de mise à l'enquête ne prévoit pas la notion de " salle communale ", cette rubrique aurait dû être cochée au titre de " bâtiment à but culturel " puisque des soirées théâtrales y sont prévues. Quant au coût, ils considèrent que c'est le coût total du projet qui aurait dû figurer dans le questionnaire général et non pas seulement le coût des points 1 à 5 du CFC . On ne voit pas en quoi l'une des informalités alléguées aurait gêné les recourants ou des tiers dans l'exercice de leurs droits; les recourants ne donnent d'ailleurs pas d'indications concrètes à ce sujet. Partant, ces griefs doivent être écartés.</w:t>
      </w:r>
    </w:p>
    <w:p>
      <w:r>
        <w:rPr>
          <w:b/>
        </w:rPr>
        <w:t>E. 5</w:t>
      </w:r>
    </w:p>
    <w:p>
      <w:r>
        <w:t>Il résulte des considérants que le recours, entièrement mal fondé, doit être rejeté dans la mesure où il est recevable. Cela entraîne la confirmation de la décision attaquée. Les recourants, qui succombent, doivent payer les frais de justice.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