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AC.2018.0069 vom 30. Juli 2018</w:t>
      </w:r>
    </w:p>
    <w:p>
      <w:r>
        <w:t>VD Tribunal cantonal, 2018-07-30, FR</w:t>
      </w:r>
    </w:p>
    <w:p>
      <w:r>
        <w:rPr>
          <w:b/>
        </w:rPr>
        <w:t xml:space="preserve">Quelle: </w:t>
      </w:r>
      <w:r>
        <w:t>https://mcp.opencaselaw.ch/entscheid/vd_omni_AC.2018.0069</w:t>
      </w:r>
    </w:p>
    <w:p>
      <w:r>
        <w:t>FR: VD_OMNI AC.2018.0069 du 30 juillet 2018</w:t>
      </w:r>
    </w:p>
    <w:p>
      <w:r>
        <w:t>IT: VD_OMNI AC.2018.0069 del 30 luglio 2018</w:t>
      </w:r>
    </w:p>
    <w:p>
      <w:pPr>
        <w:pStyle w:val="Heading2"/>
      </w:pPr>
      <w:r>
        <w:t>Regeste</w:t>
      </w:r>
    </w:p>
    <w:p>
      <w:r>
        <w:t>A.________, B.________, C.________, D.________, E.________, F.________, G.________, H.________/Municipalité d'Aigle, I.________, J.________, K.________, L.________ | Recours de voisins contre la levée de leurs oppositions et l'octroi par la municipalité d'un permis de construire pour un projet comprenant quatre villas groupées. La formulation du règlement communal n'impose pas que le troisième niveau des bâtiments soit constitué de combles (consid. 2). Les villas en question doivent être qualifiées d'habitat groupé (consid. 3). Règles d'esthétique et d'intégration respectées (consid. 4). La parcelle, qui se situe dans un quartier de villas, est équipée et accessible aux services de secours (consid. 5). Pas de nécessité de refuser le permis de construire en vertu de l'art. 77 LATC (consid. 6). Recours rejeté. Rejet du rcours en matière de droit public par le TF (1C_456/2018 du 25 juillet 2019).</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recourants remplissent les conditions de l'art. 75 let. a LPA-VD. Il y a donc lieu d'entrer en matière.</w:t>
      </w:r>
    </w:p>
    <w:p>
      <w:r>
        <w:rPr>
          <w:b/>
        </w:rPr>
        <w:t>E. 2</w:t>
      </w:r>
    </w:p>
    <w:p>
      <w:r>
        <w:t>Les recourants allèguent que, dans chacune des quatre villas, le niveau situé au-dessus de l'étage n'est pas un niveau de combles mais bien un deuxième étage à part entière, compte tenu de la hauteur du mur d'embouchature. Ce serait contraire à la réglementation communale. a) L'art. 9 RPPA, intitulé "Niveaux", dispose que "le nombre de niveaux est limité à 3 y compris les combles" dans la zone d'habitation individuelle ou groupée B. La municipalité bénéficie d'une liberté d'appréciation particulière pour l'interprétation d'une norme telle que celle de l'art. 9 RPPA, qui est une règle autonome du droit communal (AC.2016.0085 du 21 mars 2018 consid. 4c et les références citées). Selon des arrêts récents du Tribunal fédéral, la Cour de céans, en dépit de son pouvoir d'examen complet, ne peut intervenir et, le cas échéant, substituer sa propre appréciation à celle des autorités communales que si celle-ci n'est objectivement pas soutenable ou contrevient au droit supérieur (cf. arrêt non publié TF 1C_499/2017 du 19 avril 2018, consid. 3.1.2, et les arrêts cités, également non publiés). Concernant la notion de combles, la jurisprudence cantonale retient qu'il s'agit d'une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(cf. AC.2012.0241 du 17 juin 2013 consid. 2 et les références; cf. aussi Benoît Bovay/Raymond Didisheim/Denis Sulliger/Thierry Thonney, Droit vaudois de la construction, 4 ème éd., Lausanne 2010, glossaire, p. 604 s.). b) En l'espèce, on constate que le niveau en question se situe sous un toit à deux pans; le mur d'embouchature est supérieur à 1 m. Les plans d'enquête originaux du 22 mars 2017 désignent ce niveau en tant que "combles" (avec un mur d'embouchature de 1.625 m), mais les plans modifiés du 3 novembre 2017 (sur lesquels l'autorité intimée s'est basée pour délivrer le permis) indiquent qu'il s'agit du "2 ème étage" (avec un mur d'embouchature de 1.20 m). La municipalité estime que ce troisième niveau, même s'il ne correspond pas à la définition jurisprudentielle citée plus haut – donc même s'il ne peut pas être à proprement parler qualifié de niveau de combles – est un niveau faisant partie des trois niveaux admis par l'art. 9 RPPA. Selon cette autorité, le règlement communal n'impose pas que le troisième niveau soit constitué de combles stricto sensu . Cette appréciation peut être suivie. On ne se trouve pas en présence d'un article réglementaire qui limiterait la hauteur des bâtiments en étant formulé de manière à imposer que le dernier niveau constructible soit constitué de combles – comme c'est par exemple le cas de l'art. 37 al. 1 du règlement sur l'aménagement du territoire et les constructions de la Commune de Pully (entré en vigueur le 3 novembre 2017), qui dispose que "le nombre de niveaux est limité à 3, soit le rez-de-chaussée, un étage et combles". Le règlement communal ne prévoit pas non plus que les combles ne comptent pas dans le nombre de niveaux habitables – règle énoncée notamment à l'art. 43 du règlement sur le plan d'extension et la police des constructions de la Commune de La Tour-de-Peilz –, ce qui a pour conséquence que seuls des combles stricto sensu (cf. supra, consid. 2a) sont admissibles au-dessus du dernier étage autorisé. Au contraire, à la lecture de l'art. 9 RPPA, on peut comprendre qu'il permet trois niveaux, au-dessus desquels on ne peut pas ajouter encore des combles. La formulation de cette disposition n'interdit pas que le troisième niveau soit un étage à part entière – ou en d'autres termes un 2 ème étage, au-dessus du rez-de-chaussée et du 1 er étage, tel que celui qui a été autorisé en l'espèce. Le RPPA prévoit d'autres règles pour limiter la hauteur des bâtiments: une hauteur maximale à la corniche (art. 3 RPPA par renvoi de l'art. 8 al. 1 RPPA), la hauteur au faîte (art. 35 al. 2 RPPA) et la pente des toitures (art. 35 al. 1 RPPA). Il n'est pas contesté que ces règles sont respectées. En définitive, la municipalité n'a pas abusé du pouvoir d'appréciation dont elle dispose dans l'interprétation du règlement communal.</w:t>
      </w:r>
    </w:p>
    <w:p>
      <w:r>
        <w:rPr>
          <w:b/>
        </w:rPr>
        <w:t>E. 3</w:t>
      </w:r>
    </w:p>
    <w:p>
      <w:r>
        <w:t>Les recourants arguent en substance que le projet ne respecte pas l'affectation de la zone, qui prévoit l'habitat individuel ou groupé. Ils soutiennent que le projet est constitué d'un bâtiment coiffé d'un toit unique, dépourvu de décrochement de façade et de tout autre élément architectural propre à suggérer la présence de plusieurs corps de bâtiment accolés. a)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(AC.2016.0214 du 16 février 2018 consid. 4b et les références citées). b) En l'occurrence, les plans figurent quatre habitations séparées s'élevant chacune sur trois niveaux, disposant chacune d'une entrée propre (en façade est), ainsi que d'une terrasse et d'un jardin privatif (délimité par des haies) du côté ouest. Chaque logement dispose de son propre sous-sol comprenant une cave et un local technique. Il ne s'agit manifestement pas d'un immeuble d'habitation collective, mais bien d'habitat groupé. Ce grief doit être écarté.</w:t>
      </w:r>
    </w:p>
    <w:p>
      <w:r>
        <w:rPr>
          <w:b/>
        </w:rPr>
        <w:t>E. 4</w:t>
      </w:r>
    </w:p>
    <w:p>
      <w:r>
        <w:t>Dans un autre grief, les recourants mettent en cause l'esthétique du projet et son intégration dans le quartier. Ils allèguent que ce quartier est caractérisé par une faible densité des constructions et l'homogénéité de celles-ci, ainsi que par de grands espaces de verdure. Selon eux, le projet serait en rupture totale avec ce contexte et résulterait d'une utilisation déraisonnable et irrationnelle des possibilités réglementaires. a) Concernant d'un point de vue général l'intégration et l'esthétique,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En l'occurrence, le RPPA ne contient pas de règles supplémentaires au sujet de l'esthétique. Selon la jurisprudence du Tribunal fédéral (cf.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cf. également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AC.2015.0149 du 22 avril 2016 consid. 2a et les références citées). b) En l'occurrence, le périmètre du PPA "Sous-Gare" comprend des quartiers d'habitation où se mélangent plusieurs zones aux possibilités constructives différentes, et donc des bâtiments de différents types ou volumes. La taille du projet en cause, qui se distingue de celle des villas environnantes, s'explique par le fait qu'il se situe, comme on l'a vu (cf. supra Faits, let. B), dans une zone différente que les constructions environnantes, qui permet des constructions plus hautes (trois niveaux plutôt que deux – cf. art. 2 RPPA). Sauf à vouloir priver d'effet cette planification, on ne peut considérer que le fait de construire de telles villas de trois niveaux sous forme d'habitation groupée constitue, en soi, une utilisation déraisonnable des possibilités réglementaires. Les recourants allèguent que l'ensemble du quartier serait caractérisé par la présence de villas d'un ou deux niveaux et qu'au sud de la parcelle n o 951 se trouverait un groupe d'une douzaine de maisons ouvrières à l'aspect identique et à l'architecture simple, qui donneraient une identité forte à l'ensemble de la zone. On constate cependant qu'aucune de ces maisons, prises individuellement ou comme un ensemble, ne figure au recensement architectural du canton de Vaud, pas plus qu'aucune autre construction alentour. Mis à part ce groupe de maisons, les recourants ne prétendent pas que le reste du quartier bénéficierait d'une homogénéité ou de caractéristiques particulières – excepté, selon eux, le nombre de niveau des constructions qui serait limité à un ou deux. A ce sujet, on notera, à moins d'une centaine de mètres à l'ouest de la parcelle n o 951 et le long de la rue qui longe le groupe de maisons ouvrières susmentionnée, la présence d'un certain nombre d'immeubles d'habitation collective plus massifs. Au vu de ce qui précède, le projet en cause n'affectera pas significativement les caractéristiques ou l'équilibre du site. En particulier, même si les quatre villas prévues formeront un ensemble d'une taille supérieure aux habitations directement environnantes, elles ne comptent néanmoins qu'un seul niveau supplémentaire. Comme les autres villas du quartier, elles seront recouvertes d'une toiture à pans et non d'un toit plat. En définitive, les photographies figurant au dossier ainsi que les informations et prises de vue aériennes disponibles sur le guichet cartographique cantonal (www.geo.vd.ch) suffisent, dans le présent cas, à renseigner le Tribunal quant au bâti existant et à lui permettre de vérifier que la municipalité n'a pas abusé de son large pouvoir d'appréciation. Pour cette raison, la requête d'inspection locale formulée par les recourants à titre de mesure d'instruction supplémentaire doit être rejetée, sans que cela constitue une violation de leur droit d'être entendus (cf. ATF 130 II 425 consid. 2.1 et les références citées; 129 II 497 consid. 2.2). S'agissant de l'esthétique proprement dite des constructions prévues, telle qu'elle ressort des plans, elle ne présente aucun élément choquant ni aucune particularité qui justifieraient de considérer que la municipalité aurait abusé de son pouvoir d'appréciation en la matière. Le grief doit ainsi être rejeté.</w:t>
      </w:r>
    </w:p>
    <w:p>
      <w:r>
        <w:rPr>
          <w:b/>
        </w:rPr>
        <w:t>E. 5</w:t>
      </w:r>
    </w:p>
    <w:p>
      <w:r>
        <w:t>Selon les recourants, il faudrait par ailleurs considérer que la parcelle n o 951 est insuffisamment équipée. En effet, elle ne disposerait pas d'un accès suffisant, étant reliée à la route par un étroit chemin de moins de 3 m de large aménagé sur une servitude de passage et régulièrement utilisé comme place de stationnement. Dans ce cadre, les recourants contestent également que l'accès par les services de secours soit assuré. a) En vertu de l'art. 22 al. 2 let. b LAT, l'autorisation de construire n'est délivrée que si le terrain est équipé.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L'art. 19 al. 1 LAT dispose qu'un terrain est réputé équipé lorsqu'il est desservi d'une manière adaptée à l'utilisation prévue par des voies d'accès.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AC.2017.0207 du 14 juin 2018 consid. 7 et les références citées). Il résulte en substance de la jurisprudence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(AC.2017.0207 précité consid. 7 et les références citées). b) En l'occurrence, il est évident que le quartier, déjà très largement bâti, est équipé. La construction de quatre villas supplémentaires ne modifie pas sensiblement la situation. La parcelle n o 951, enclavée parmi d'autres propriétés et reliée à la route communale par un chemin d'accès, ne se trouve pas dans une situation différente de celle de nombreuses autres parcelles environnantes, toutes déjà bâties. L'éventuelle obstruction du chemin d'accès par des voitures en stationnement n'est pas déterminante dans la mesure où la parcelle n o 951 bénéficie d'une servitude sous forme de droit de passage, qu'il appartiendra si nécessaire aux propriétaires de faire respecter. S'agissant de l'accès par les services de secours, qui serait trop étroit, les recourants se réfèrent à la "Directive concernant les accès, surfaces de manœuvre et d'appui pour les moyens d'intervention sapeurs-pompiers" adoptée le 18 mars 2015 par la Coordination Suisse des Sapeurs-Pompiers (CSSP). Cette directive "règle, au sens de l'art. 44 de la norme de protection incendie de l'AEAI, les exigences de base concrètes concernant l'accessibilité des sapeurs-pompiers aux bâtiments et aménagements" (cf. ch. 1, p. 4). Plus précisément, la norme à laquelle il est fait référence est la Norme de protection incendie du 1 er janvier 2015 de l'Association des établissements cantonaux d'assurance incendie (AEAI). Cette norme et les directives adoptées par l'AEAI à son sujet (mais pas la directive CSSP), sont applicables dans le Canton de Vaud en vertu de l'art. 1 du règlement du 17 décembre 2014 concernant les prescriptions sur la prévention des incendies (RPPI; RSV 963.11.2 – cf. à ce sujet AC.2017.0333 du 16 mai 2018 consid. 13). L'art. 44 de la Norme AEAI dispose que "les bâtiments et les autres ouvrages doivent toujours rester accessibles, afin que les sapeurs-pompiers puissent intervenir rapidement et efficacement". Cette norme ne règle pas plus précisément les caractéristiques des voies d'accès pour les véhicules de secours. La directive CSSP formule des exigences qui varient en fonction de la hauteur des bâtiments concernés. En l'occurrence, les villas en question, qui auront une hauteur au faîte de 9.40 m, doivent être considérées comme des "bâtiments de faible hauteur" (soit de moins de 11 m) au sens de la directive. Cette dernière décrit la configuration que doivent respecter l'accès et la "surface de manœuvre" pour de telles constructions. On retiendra en particulier qu'il n'est pas nécessaire qu'un véhicule de secours s'arrête au pied de la façade de l'habitation: il est suffisant qu'il puisse s'approcher suffisamment près du bâtiment, une conduite d'eau d'une longueur maximale de 80 m pouvant être déployée (ch. 8, p. 11 directive CSSP). En l'espèce, il ne fait pas de doute que cette exigence peut être respectée, le Chemin des Dents-du-Midi (route communale à l'évidence accessible aux pompiers) se trouvant à environ 50 m des habitations projetées. Partant, le grief concernant l'équipement de la parcelle doit être écarté.</w:t>
      </w:r>
    </w:p>
    <w:p>
      <w:r>
        <w:rPr>
          <w:b/>
        </w:rPr>
        <w:t>E. 6</w:t>
      </w:r>
    </w:p>
    <w:p>
      <w:r>
        <w:t>Les recourants se prévalent enfin du fait que la planification générale de la Commune d'Aigle serait notoirement obsolète et devrait être révisée, de même que le PPA "Sous-Gare". Dans ce cadre, l'anomalie constituée par la collocation de la parcelle n o 951 et de la parcelle voisine dans une zone différente de celle régissant les terrains environnants serait destinée à être corrigée. Les recourants en infèrent que la municipalité aurait dû refuser le permis de construire en vertu de l'art. 77 LATC. a) L'effet anticipé négatif d'un projet de plan peut résulter de l'art. 77 LATC, ainsi libellé: "Art. 77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Cet article confère à la municipalité une simple faculté. Un refus fondé sur cette disposition fait obstacle à la réalisation d'un projet conforme à une réglementation devenue inadaptée et qui compromettrait la révision de cette dernière. Selon la jurisprudence,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L'autorité doit avoir exprimé une volonté claire de modifier la planification en vigueur, ce qui peut résulter d'une décision municipale, d'un vote du conseil de la commune ou du mandat d'étude confié à un bureau d'urbanistes (AC.2006.0036 du 20 décembre 2006 consid. 3b). Compte tenu des concepts juridiques largement indéterminés utilisés par l'art. 77 LATC, la municipalité qui applique cette disposition jouit d'une grande latitude de jugement et d’un pouvoir d’appréciation important (AC.2016.0344 du 19 février 2018 consid. 3c). b) En l'occurrence, il n'apparaît pas qu'il existe un projet précis ou spécifique de réviser le PPA "Sous-Gare". La Municipalité pouvait donc, sans abuser de son pouvoir d'appréciation, décider de ne pas faire application de l'art. 77 LATC, s'agissant qui plus est d'une parcelle située dans un quartier déjà majoritairement bâti. Des considérations générales sur l'adéquation de la planification actuelle ou sur la nécessité de revoir le dimensionnement des zones à bâtir, après l'entrée en vigueur de la révision de la LAT et, aussi, de la 4 e adaptation du PDCn, ne justifient pas que l'on refuse un permis de construire pour un projet conforme au PPA, dans le périmètre compact d'agglomération d'Aigle. Partant, la municipalité pouvait considérer que la réglementation de la zone de villas était toujours applicable sans réserve.</w:t>
      </w:r>
    </w:p>
    <w:p>
      <w:r>
        <w:rPr>
          <w:b/>
        </w:rPr>
        <w:t>E. 7</w:t>
      </w:r>
    </w:p>
    <w:p>
      <w:r>
        <w:t>Les considérants qui précèdent conduisent au rejet du recours et à la confirmation de la décision attaquée. Les recourants, qui succombent, supporteront les frais de justice, arrêtés à 2'500 fr. compte tenu des opérations d'instruction effectuées (art. 49 al. 1 LPA-VD et art. 4 al. 1 du tarif du 28 avril 2015 des frais judiciaires et des dépens en matière administrative [TFJDA; RSV 173.36.5.1]); le solde de l'avance de frais versée leur sera remboursé. Ils auront en outre à verser des dépens à la commune, qui a procédé avec l'assistance d'un avocat (art. 55 LPA-VD et art. 10 s. TFJDA). Les constructeurs, qui se sont référés aux écritures de la municipalité sans déposer eux-mêmes de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