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AC.2017.0417 vom 23. Juli 2018</w:t>
      </w:r>
    </w:p>
    <w:p>
      <w:r>
        <w:t>VD Tribunal cantonal, 2018-07-23, FR</w:t>
      </w:r>
    </w:p>
    <w:p>
      <w:r>
        <w:rPr>
          <w:b/>
        </w:rPr>
        <w:t xml:space="preserve">Quelle: </w:t>
      </w:r>
      <w:r>
        <w:t>https://mcp.opencaselaw.ch/entscheid/vd_omni_AC.2017.0417</w:t>
      </w:r>
    </w:p>
    <w:p>
      <w:r>
        <w:t>FR: VD_OMNI AC.2017.0417 du 23 juillet 2018</w:t>
      </w:r>
    </w:p>
    <w:p>
      <w:r>
        <w:t>IT: VD_OMNI AC.2017.0417 del 23 luglio 2018</w:t>
      </w:r>
    </w:p>
    <w:p>
      <w:pPr>
        <w:pStyle w:val="Heading2"/>
      </w:pPr>
      <w:r>
        <w:t>Regeste</w:t>
      </w:r>
    </w:p>
    <w:p>
      <w:r>
        <w:t>A.________/Municipalité de Mex | Le règlement communal prévoit que la zone de sports et de loisirs est destinée uniquement à l’aménagement de terrains, d’emplacements, d’installations propres à la pratique des sports et à des constructions en relation avec la destination de la zone. Il ne dispose pas que la zone pourrait accueillir une activité de restauration indépendamment de l'existence de terrains, d’emplacements ou d’installations propres à la pratique des sports. L'autorité intimée fait déjà preuve d'une certaine souplesse en ne limitant pas la notion de "constructions en relation avec la destination de la zone" à une simple buvette ou club house mais en admettant l'exploitation d'un véritable restaurant; son interprétation doit être confirmée.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 sous réserve des considérations qui suivent. a) Le recourant a conclu à l’octroi de l’effet suspensif (1.), à ce que la décision attaquée soit réformée en ce sens qu’il est constaté que l’exploitation du restaurant sis ch. des Vaux 2, 1031 Mex est conforme au plan d’extension partiel du 23 décembre 1969 régissant le site des Vaux (2.), à ce que la décision attaquée soit réformée en ce sens que l’exploitation du restaurant sis ch. des Vaux 2, 1031 Mex est autorisée (3.), à ce que la décision attaquée soit réformée en ce sens qu’il est autorisé à poursuivre l’exploitation de la parcelle n° 260 et les activités F.________ ou tout autre établissement équivalent (4.), à ce que la décision attaquée soit réformée en ce sens qu’il est autorisé à réaliser son projet "Polysport" en cours (5.). Selon l’autorité intimée, qui se réfère à la fermeture du restaurant F.________ au 31 décembre 2017, les conclusions 1. à 4. du recours sont sans objet. Quant à la conclusion 5., elle serait irrecevable vu que la décision attaquée ne porte pas sur le projet "Polysport", aucune décision n’ayant été notifiée sur cet objet. b) Concernant la première conclusion, on relève que le recours a effet suspensif de par la loi (art. 80 al. 1 et 99 LPA-VD), sans qu’il soit nécessaire d’en examiner d’office l’intérêt pratique pour le recourant. Concernant la conclusion 2., il faut la comprendre en ce sens qu’elle ne concerne pas directement F.________, qu’elle ne mentionne d’ailleurs pas expressément, mais les locaux sis ch. des Vaux 2, 1031 Mex, qui permettent l’exploitation d’un restaurant, quel qu’il soit. A ce titre, elle est recevable. Le recourant dispose en effet d’un intérêt actuel à ce que ces installations soient considérées comme conformes à la zone et puissent être louées à un gérant d’établissement, quel qu’il soit. Les conclusions 3. et 4. ne sont par contre pas recevables en tant qu’elles demandent que l’autorité intimée autorise l’exploitation d’un restaurant. En effet, la délivrance de l’autorisation d’exploiter ne relève en l'espèce pas de la municipalité mais de la police cantonale du commerce; la municipalité ne dispose à cet égard que d'une compétence de préavis (cf. art. 31 de la loi sur les auberges et les débits de boissons du 26 mars 2002; RSV 935.31). La municipalité peut constater, comme elle l’a fait dans la décision attaquée, que certaines activités sont interdites. Ceci ne signifie pas qu’elle ait la compétence d’autoriser lesdites activités. Concernant la conclusion 5., on rappelle que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Vu que la question du projet "Polysport" n’a pas été abordée dans la décision attaquée, force est de constater que celle-ci n’a en aucune manière créé, modifié ou annulé des droits et obligations en rapport avec ce projet et n'a en aucune manière constaté l’existence, l’inexistence ou l’étendue de droits et d’obligations en rapport avec ce projet. Elle n'a pas non plus rejeté ou déclaré irrecevables des demandes tendant à créer, modifier, annuler ou constater des droits et obligations en rapport avec ce projet. Vu qu'aucune décision au sens de l'art. 3 LPA-VD n'a été rendue en relation avec le projet "Polysport", la conclusion</w:t>
      </w:r>
    </w:p>
    <w:p>
      <w:r>
        <w:rPr>
          <w:b/>
        </w:rPr>
        <w:t>E. 5</w:t>
      </w:r>
    </w:p>
    <w:p>
      <w:r>
        <w:t>Il résulte des considérants qui précèdent que le recours doit être rejeté et la décision attaquée confirmée. Un émolument de 2'000 fr. est mis à la charge du recourant qui succombe (art. 49 al. 1 LPA-VD et 4 al. 1 du Tarif des frais judiciaires et des dépens en matière administrative, du 28 avril 2015 [TFJDA; RSV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