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AC.2017.0394 vom 31. Juli 2019</w:t>
      </w:r>
    </w:p>
    <w:p>
      <w:r>
        <w:t>VD Tribunal cantonal, 2019-07-31, FR</w:t>
      </w:r>
    </w:p>
    <w:p>
      <w:r>
        <w:rPr>
          <w:b/>
        </w:rPr>
        <w:t xml:space="preserve">Quelle: </w:t>
      </w:r>
      <w:r>
        <w:t>https://mcp.opencaselaw.ch/entscheid/vd_omni_AC.2017.0394</w:t>
      </w:r>
    </w:p>
    <w:p>
      <w:r>
        <w:t>FR: VD_OMNI AC.2017.0394 du 31 juillet 2019</w:t>
      </w:r>
    </w:p>
    <w:p>
      <w:r>
        <w:t>IT: VD_OMNI AC.2017.0394 del 31 luglio 2019</w:t>
      </w:r>
    </w:p>
    <w:p>
      <w:pPr>
        <w:pStyle w:val="Heading2"/>
      </w:pPr>
      <w:r>
        <w:t>Regeste</w:t>
      </w:r>
    </w:p>
    <w:p>
      <w:r>
        <w:t>A.________, B.________, C.________, D.________, E.________, F.________/Municipalité d'Ollon, G.________, ECA, Direction générale de l'environnement DGE-DIREN | Qualité pour recourir d'un seul propriétaire en main commune (c. 1). Exposé des exigences de la LRS applicables aux hébergements touristiques organisés. Question de la conformité à ces critères du projet litigieux (20 appartements répartis en 4 chalets et des locaux communs, à constituer en PPE) laissée indécise (c. 4). Notion de construction souterraine au sens de l'art. 84 LATC et de la disposition communale réglant les "dépendances souterraines". D'une surface d'environ 1'000 m2, le niveau semi-enterré prévu impliquera des mouvements de terre importants, entraînant une modification sensible de la nature et du profil du sol. Compte tenu de la longueur considérable de sa face aval apparente (50 m), il marquera excessivement le paysage. Il en ira d'autant plus au vu du traitement de ladite face aval, comportant de nombreuses baies vitrées, ainsi que du style et de l'échelle du bâti environnant. Il ne s'agit donc pas d'une "dépendance souterraine". De surcroît, la notion communale de "dépendances souterraines" est réservée en particulier aux locaux "de service". Tel n'est pas le cas, au vu des circonstances, de la réception et de la salle de restauration hôtelière prévues, dévolues à des activités commerciales (c. 5). Recours admis.</w:t>
      </w:r>
    </w:p>
    <w:p>
      <w:pPr>
        <w:pStyle w:val="Heading2"/>
      </w:pPr>
      <w:r>
        <w:t>Erwägungen</w:t>
      </w:r>
    </w:p>
    <w:p>
      <w:r>
        <w:rPr>
          <w:b/>
        </w:rPr>
        <w:t>E. 1</w:t>
      </w:r>
    </w:p>
    <w:p>
      <w:r>
        <w:t>Interjetés dans le délai légal de trente jours suivant la notification de la décision entreprise (cf. art. 95 de la loi vaudoise du 28 octobre 2008 sur la procédure administrative [LPA-VD; BLV 173.36]), les trois recours ont été déposés en temps utile. Ils satisfont par ailleurs aux autres conditions formelles de recevabilité (cf. art. 79 al. 1 LPA-VD, applicable par renvoi de l'art. 99 LPA-VD). La recourante Helvetia Nostra, qui fait partie des organisations habilitées à recourir dans le domaine de la protection de la nature et du paysage au sens de l'art. 12 al. 1 de la loi fédérale du 1 er juillet 1966 sur la protection de la nature et du paysage (LPN; RS 451) dispose de la qualité pour recourir contre un permis de construire lorsqu'elle dénonce, comme en l'espèce, une violation de l'art. 75b de la Constitution fédérale de la Confédération suisse du 18 avril 1999 (Cst.; RS 101). Les recourants B.________ et consorts sont propriétaires de la parcelle 2379, dont l'angle nord-ouest se confond avec l'angle sud-est de la parcelle litigieuse 2378. Au vu de leurs griefs, la proximité de leur bien-fonds leur confère ainsi la qualité pour recourir. A.________ et H.________ sont propriétaires en main commune de la parcelle 2381, située en limite aval de la parcelle 2378. Seule la première a déposé un recours en temps utile. Dans la propriété en main commune, le droit de chaque propriétaire s’étend à la chose entière (art. 652 du Code civil suisse du 10 décembre 1907 [CC; RS 210]). A défaut d’autres règles, les droits des propriétaires en main commune, en particulier celui de disposer de la chose, ne peuvent être exercés qu’en vertu d’une décision unanime (art. 653 al. 2 CC). Il s’agit là d’un cas de consorité nécessaire (ATF 129 III 715 consid. 3.3), qui a pour conséquence que les propriétaires doivent recourir conjointement ou, lorsque l’un agit au nom des autres, que ceux-ci ratifient le recours. Cette solution souple répond aux exigences de la prohibition de l’arbitraire et du formalisme excessif (cf. CDAP AC.2011.0176 du 21 septembre 2012 consid. 2a; CDAP AC.2009.0231 du 15 janvier 2010 consid. 1d; CDAP AC.2001.0188 du 22 mai 2002 consid. 2, confirmé par TF 1P.354/2002 du 31 octobre 2002 consid. 3). H.________ a ratifié le recours. Il convient dès lors de considérer le recours comme recevable sur ce point. Pour le surplus, la recourante ne se limite pas à invoquer un intérêt général et abstrait à la correcte application du droit – ce qui constituerait une action populaire –, mais une atteinte à son intérêt propre, notamment quant au risque encouru par sa parcelle. Il sied par conséquent d'entrer en matière sur le fond des trois recours.</w:t>
      </w:r>
    </w:p>
    <w:p>
      <w:r>
        <w:rPr>
          <w:b/>
        </w:rPr>
        <w:t>E. 2</w:t>
      </w:r>
    </w:p>
    <w:p>
      <w:r>
        <w:t>Les recourants dénoncent des violations de leurs droits d'être entendus et requièrent une série de mesures d'instruction. a) Les recourants B.________ et consorts soulignent que l'autorité intimée ne leur a pas transmis la synthèse CAMAC et que le rapport d'Aquavision Engineering Sàrl ne figurait pas dans le dossier mis à l'enquête publique, pas plus que le rapport du 23 mars 2017 du bureau Karakas &amp; Français. Ils relèvent en outre des éléments erronés dans la demande de permis de construire, s'agissant des rubriques relatives aux dangers affectant la parcelle litigieuse ainsi qu'à la catégorie de bâtiment prévu. Par ailleurs, ils sollicitent la production de pièces relatives, en substance, à la faisabilité de l'hébergement touristique organisé proposé par la constructrice, ainsi que la communication d'un plan représentant l'espace réservé aux eaux. De son côté, la recourante A.________ se plaint également de ne pas avoir reçu la synthèse CAMAC des mains de la municipalité, dénonce l'incomplétude du dossier déposé par cette autorité et confirme ne pas avoir eu davantage connaissance du rapport du 23 mars 2017 du bureau Karakas &amp; Français. b) Il n'est pas contesté que la procédure a connu des problèmes non négligeables de communication, de coordination et d'instruction dans le sens évoqué par les recourants. En particulier, le dossier transmis au tribunal par la municipalité ne comporte que le premier rapport du bureau Karakas &amp; Français, de 2008. Il découle en outre de la synthèse CAMAC du 12 septembre 2017 que la DGE-UDN (alors la DGE-GEODE-DN) n'a pas été en mesure de se prononcer sur la compatibilité du projet avec la situation de danger et de risque (de glissement permanent et d'effondrement), faute d'avoir eu connaissance du dernier rapport du bureau Karakas &amp; Français de 2017. De plus, la synthèse CAMAC ne fait pas état du danger de laves torrentielles, l'ECA affirmant à cet égard qu'un tel danger n'avait pas été retenu pour la parcelle litigieuse au moment de sa détermination. A cet égard, il faut du reste relever qu'il découle du guichet cartographique (www.geo.vd.ch) que le répertoire des dangers affectant la parcelle a connu des modifications depuis le dépôt de la demande de permis de construire. Pour le surplus, le rapport d'Aquavision Engineering Sàrl mentionné par la DGE à l'appui de la délivrance de l'autorisation spéciale sous l'angle du danger d'inondation et de la protection des eaux ne figure dans aucun des dossiers transmis au tribunal. Quant au plan de situation annoté par la DGE aux fins d'illustrer l'absence de construction dans l'espace réservé aux eaux, il ne semble pas tenir compte d'éventuels mouvements de terrains ou d'enrochements susceptibles d'empiéter dans cet espace. Par ailleurs, la DGE n'a pas été en mesure de retenir que le projet comportait un jacuzzi extérieur – figurant sur les plans –, étant cependant précisé que la constructrice n'avait pas coché la rubrique topique (n. 467) de la demande de permis de construire permettant d'annoncer un tel ouvrage. Dans ces conditions, il n'est pour le moins pas exclu que le tribunal soit légitimé, sur le seul vu des lacunes précitées du dossier, à annuler les décisions attaquées et à renvoyer la cause aux autorités pour complément d'instruction et nouvelles décisions. Compte tenu du sort du recours (cf. consid. 5c et 5d infra), cette question souffre toutefois de demeurer indécise. Pour le même motif, il n'y a pas lieu de donner suite aux requêtes de mesures d'instruction exposées ci-dessus.</w:t>
      </w:r>
    </w:p>
    <w:p>
      <w:r>
        <w:rPr>
          <w:b/>
        </w:rPr>
        <w:t>E. 3</w:t>
      </w:r>
    </w:p>
    <w:p>
      <w:r>
        <w:t>Sur le fond, les recourants soutiennent que la constructrice ne démontre pas à suffisance la nature et le degré des dangers naturels affectant la parcelle litigieuse, pas plus que l'adéquation des mesures prises pour les juguler. Ils évoquent à cet égard les dangers d'inondation, de laves torrentielles, de glissement profond permanent et d'effondrement. Ils se plaignent en particulier d'un défaut d'actualisation des données, de lacunes dans le dossier qui leur a été communiqué, de l'absence d'analyse combinée des différents dangers, d'une sous-estimation des risques de déstabilisation dus aux futurs terrassements ainsi que de manquements dans la maîtrise du volume des eaux claires. Quoi qu'il en soit, ces griefs peuvent également rester ouverts, les décisions attaquées devant de toute façon être annulées (cf. consid. 5c et 5d infra ). Il en va de même de l'argumentation des recourants dénonçant des risques d'atteintes à l'environnement, en particulier à l'un des arbres censés subsister sur la parcelle litigieuse (endommagement des racines), à l'aire forestière implantée en aval (assèchement), ainsi qu'à l'espace réservé aux eaux du ruisseau traversant ladite parcelle (détermination de la largeur et de l'emprise exacte de cet espace, présence d'ouvrages tels que terrassements et enrochements).</w:t>
      </w:r>
    </w:p>
    <w:p>
      <w:r>
        <w:rPr>
          <w:b/>
        </w:rPr>
        <w:t>E. 4</w:t>
      </w:r>
    </w:p>
    <w:p>
      <w:r>
        <w:t>L'ensemble des recourants se plaignent ensuite d'une violation de la loi fédérale du 20 mars 2015 sur les résidences secondaires (LRS; RS 702), considérant, en substance, que la constructrice ne démontre pas à suffisance sa volonté de réaliser un hébergement touristique organisé au sens de l'art. 7 al. 1 let. b et al. 2 let. b LRS. a) Accepté en votation populaire du 11 mars 2012 et en vigueur depuis cette date, l'art. 75b al. 1 Cst. prévoit que les résidences secondaires constituent au maximum 20% du parc des logements et de la surface brute au sol habitable de chaque commune. Cette disposition est à ce jour concrétisée par la LRS et l'ordonnance fédérale du 4 décembre 2015 sur les résidences secondaires (ORSec; RS 702.1), toutes deux entrées en vigueur le 1 er janvier 2016. Selon l'art. 6 LRS, dans les communes dont la proportion de résidences secondaires déterminée conformément à l'art. 5 est supérieure à 20%, aucune nouvelle résidence secondaire ne peut être autorisée. Si cette proportion est inférieure à 20%, mais que l'octroi d'une autorisation de construire conduirait, dans une commune, au dépassement de cette limite de 20%, l'autorisation ne peut pas être délivrée (al. 1). Demeure réservée la création de nouveaux logements au sens de l'art. 7 al. 1 let. b et des art. 8, 9, 26 ou 27. La Commune d'Ollon figure dans la liste des collectivités pour lesquelles il est constaté que la proportion de résidences secondaires est supérieure à 20% (art. 2 al. 4 ORSec). De ce fait, cette collectivité est soumise à l'interdiction de construire de nouvelles habitations de ce type, que prévoit l'art. 6 al. 1 LRS; cela n'est pas contesté. b) Les possibilités de création de nouveaux logements dans les communes qui sont concernées par cette restriction sont prévues au chapitre 4 de la LRS. Parmi ces possibilités figure celle qui autorise la création de logements affectés à l'hébergement touristique, réglée à l'art. 7 al. 1 let. b LRS. Un logement est réputé affecté à l'hébergement touristique uniquement s'il est mis de manière durable à la disposition d'hôtes pour des séjours de courte durée, aux conditions usuelles du marché et conformes à l'usage local (art. 7 al. 2 LRS); de plus, il doit remplir l'une des conditions suivantes: être situé dans le même bâtiment que celui où le propriétaire a son domicile principal (art. 7 al. 2 let. a LRS) ou ne pas être équipé en fonction des besoins personnels du propriétaire et être mis sur le marché dans le cadre d'un établissement d'hébergement organisé (art. 7 al. 2 let. b LRS). C'est le lieu de préciser que les chambres fédérales ont biffé un troisième type d'exception à l'interdiction de bâtir contenu dans le projet de loi du Conseil fédéral, qui permettait de construire des logements dédiés à l’hébergement touristique sans restriction particulière quant à la structure, l’organisation ou la taille minimales, les logements devant notamment être proposés à la location sur une plate-forme de placement exploitée commercialement (p. ex. sur Internet; art. 7 al. 2 let. c et art. 8 du projet de loi; FF 2014 2209, spéc. pp. 2225 ss; BO CE 2014 II pp. 935 ss et BO CN 2015 I pp. 36 et 54). Il est dès lors nécessaire, afin de se conformer à la volonté du législateur fédéral, de ne pas réintroduire cette exception via une interprétation très large de la notion d’établissement d’hébergement organisé au sens discuté ci-dessus. La structure et l’organisation d’un tel établissement doivent ainsi remplir des exigences minimales qui permettent de le distinguer d’une simple plate-forme commerciale de placement (arrêt du Tribunal cantonal du canton du Valais A1 16 10 du 6 octobre 2016 consid. 4.3.3). D'après le Message du Conseil fédéral du 19 février 2014 sur le projet de loi sur les résidences secondaires (ci-après: le Message; voir également le rapport explicatif du 26 juin 2013 relatif à l'avant-projet de loi fédérale sur les résidences secondaires, établi par l'Office fédéral du développement territorial), la notion d’entreprise d’hébergement organisé permet de tenir compte des limites toujours plus difficiles à définir entre hôtellerie et parahôtellerie, logements de vacances et résidences secondaires. Désormais en effet, les nouvelles formules d’hébergement sont souvent hybrides. Une entreprise d’hébergement organisée présuppose néanmoins l’existence d’un concept d’exploitation de type hôtelier (incluant en général les infrastructures minimales correspondantes, par ex. une réception) formant un ensemble d’une taille minimale. Il s’agit par exemple de résidences hôtelières telles que les complexes hôteliers (hôtels avec chambres et appartements) et les résidences et villages de vacances qui proposent un hébergement pour de courts séjours de vacances et des prestations de type hôtelier. Ces installations ont en général pour caractéristique de former un ensemble construit (centre avec entrée principale et réception, place de stationnement centrale) composé d’installations communautaires telles que piscine, terrain de sport, restaurants et places de jeux accessibles à tous les hôtes. L’installation doit avoir une taille et une structure permettant une mise sur le marché qui soit professionnelle et lucrative, et être conçue de façon à rester compétitive à long terme. Ces logements ayant pour but premier l’exercice d’une activité lucrative de location à des tiers, ils ne doivent pas être personnalisés. En d’autres termes, ces logements ne sont pas aménagés pour l’usage personnel des propriétaires ou pour répondre aux besoins particuliers de ceux-ci, mais leur qualité, leur aménagement et leur équipement sont uniformes ou obéissent à un concept d’ensemble. L’utilisation propre (gratuite ou payante, par le propriétaire, les membres de sa famille, ses amis et ses connaissances) reste possible, en partant toutefois du principe qu’elle n’est admise en règle générale que pour trois semaines en haute saison (FF 2014 2209, p. 2226). Usant de la délégation prévue par l'art. 7 al. 5 LRS, le Conseil fédéral a fixé à l'art. 4 ORSec les exigences nécessaires à la reconnaissance d'un établissement d'hébergement organisé: il faut que l'établissement en question comprenne des services et des infrastructures de type hôtelier standards utilisés par la majorité des clients (let. a), qu'il soit organisé selon une conception d'exploitation de type hôtelier (let. b) et que l'exploitation se fasse dans le cadre d'une entreprise homogène (let. c). Commentant cette disposition dans un document du 18 novembre 2015, l'Office fédéral du développement territorial a précisé que ces trois conditions devaient être cumulativement remplies (cf. ARE, Ordonnance sur les résidences secondaires — Commentaires, p. 5). Il a ajouté, en se fondant notamment sur le Message précité, ce qui suit: "[…] Les critères déterminants pour savoir si l’on est en présence d’un établissement d’hébergement organisé sont notamment les suivants: · offre suffisante de services et d’infrastructures de type hôtelier. Il s’agit de services et d’infrastructures qui typiquement sont offerts par des hôtels (comme p. ex. réception, service de chambre, installations communes comme piscine intérieure, équipements sportifs, restaurants et salles de jeu habituellement accessibles à la plupart des clients, l’essentiel ici étant que de tels services soient proposés et qu’ils puissent être accessibles aux clients); on peut aussi envisager que certains des services ou des infrastructures soient fournis par des partenaires de la région; · existence d’un concept de type hôtelier. Le concept doit être orienté vers l’hébergement professionnel de visiteurs à court terme. Figurent comme exemples de telles formes d’hébergement des résidences de type hôtelier comme des hôtels resort (hôtel avec des chambres et des logements exploités touristiquement), des resorts de vacances et des villages de vacances (p.ex. REKA, Landal); · gestion uniforme de l’établissement; · type de commercialisation (l’exploitation commerciale et la commercialisation sont organisées de telle manière que les logements sont proposés de manière durable aux conditions usuelles du marché et conformes à l’usage local – notamment aussi en hautes saisons – pour qu’ils fassent aussi réellement l’objet d’une demande). Les logements en propriété par étages présentent des risques particuliers, que ce soit pour les aspects spéculatifs qu’ils présentent ou pour les investissements de rénovation requis. Il convient donc de respecter des critères supplémentaires: · l'utilisation personnelle des logements doit rester faible (le logement peut être utilisé par les propriétaires, les membres de leurs familles, des amis ou des connaissances; l’utilisation peut être gratuite ou payante et ne doit pas dépasser trois semaines par haute saison [une utilisation du logement par les groupes de personnes mentionnées via la plate-forme de location accessible à tous aux conditions correspondantes reste en outre toujours possible]; la location durable du logement doit être exclue); · existence d’un fonds de rénovation; celui-ci doit être disponible pour l’exploitant et pour le propriétaire, les processus décisionnels pour la réalisation des travaux de rénovation doivent être définis et l’exploitant et le propriétaire doivent disposer d’une marge de manœuvre suffisante; il s’agit de limiter le risque à long terme lié à l’absence d’entente entre les propriétaires par étage par rapport aux investissements de rénovation; · afin que ces points puissent être suffisamment examinés, il convient de déposer également les documents suivants avec la demande de permis de construire: l’acte constitutif et les éventuels règlements ainsi que les contrats de location et d’exploitation, s’il en existe déjà. L’expérience dira s’il convient de prévoir des critères supplémentaires pour examiner les exigences et pour définir la catégorisation en établissement d’hébergement organisé. La réglementation par voie d’ordonnance garantit une réalisation rapide des adaptations. […] ". Selon la jurisprudence relative à l'ancienne ordonnance fédérale du 22 août 2012 sur les résidences secondaires, des résidences affectées à un hébergement touristique qualifié peuvent être considérées comme des " lits chauds ", assimilables à un hébergement hôtelier. Cette approche se justifie par le fait que l’article constitutionnel sur les résidences secondaires ne porte pas sur l’hôtellerie; du point de vue de la finalité et compte tenu des débats qui ont précédé la votation sur l’initiative, la démarche vise principalement à limiter les lits " froids ", non pas à interdire de nouveaux lits " chauds " (CDAP AC.2014.0161 du 2 février 2015 consid. 3a). c) D'après l'art. 14 LRS, l'autorité compétente pour les autorisations de construire suspend, à la demande du propriétaire, une restriction d'utilisation au sens de l'art. 7 al. 1, pendant une durée déterminée, lorsque le propriétaire apporte la preuve que le logement a été proposé sur le marché et qu'il a vainement recherché des personnes disposées à utiliser légalement le logement à un prix raisonnable (al. 1 let. b); elle prolonge cette suspension, lorsque le propriétaire apporte la preuve que les exigences sont toujours remplies (al. 2). A teneur de l'art. 9 ORSec, la suspension est limitée à deux ans au plus, et la prolongation est à chaque fois de deux ans au plus (al. 1). Le propriétaire doit attester dans chaque cas (al. 2): que des annonces ont régulièrement été publiées selon les usages du marché (let. a); que le logement a été proposé aux conditions usuelles du marché et conformes à l'usage local (let. b), et que le logement a été en tout temps prêt à être occupé par un locataire ou un acquéreur (let. c). L'art. 75b Cst. qui limite les résidences secondaires au maximum de 20% du parc des logements et de la surface brute au sol habitable de chaque commune ne vise pas seulement les constructions qui, selon les déclarations des intéressés, seront utilisées comme résidences secondaires, mais également celles qui pourraient être utilisées comme résidences secondaires (ATF 144 II 49 consid. 2.1, TF 1C_102/2017 du 16 janvier 2018; ATF 142 II 206 consid. 2.1; voir également TF 1C_77/2018 du 7 janvier 2019 consid. 2.1; TF 1C_916/2013 du 19 février 2015 consid. 3.2). Face à l'interdiction générale de dépasser le seuil de 20%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142 II 206 consid. 2.2).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142 II 206 consid. 2.5 et la jurisprudence citée).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142 II 206 consid. 4.3; TF 1C_546/2015 du 23 juin 2016 consid. 2.5). Il s'agit de vérifier si, en prétendant vouloir construire une résidence principale (but en soi admissible au regard de la norme constitutionnelle) selon la définition des art. 2 al. 2 et 3 LRS, l'intéressé n'a pas pour objectif de contourner l'interdiction découlant de l'art. 75b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142 II 206 consid. 2.4).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géographique ( ATF 144 II 49 consid. 2.2; ATF 142 II 206 consid. 3.2; TF 1C_73/2018 du 7 janvier 2019 consid. 2.2; TF 1C_160/2015 du 3 mai 2016 consid. 3.2). L'introduction, depuis le 1 er janvier 2016, de l' art. 14 LRS , prévoyant la suspension de la restriction d'utilisation lorsque celle-ci ne peut temporairement pas être respectée en raison de circonstances particulières telles que décès, changement de domicile ou changement d'état civil, renforce le risque de détournement de l'objectif de la disposition constitutionnelle.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 ATF 145 II 99 consid. 3; ATF 144 II 49 consid. 2.3; TF 1C_ 592/2017 du 15 juin 2018 consid. 5.5; TF 1C_263/2016 du 21 février 2017 consid. 4.3). La faculté ancrée à l'art. 14 LRS impose que, dans les cas douteux impliquant un grand nombre de logements, la possibilité réelle d'utiliser les logements selon l'affectation prévue fasse l'objet de vérifications sérieuses (ATF 142 II 206 consid. 4.2). Cette jurisprudence doit être appliquée par analogie au constructeur qui prétend vouloir construire non pas une résidence principale, mais un hébergement touristique organisé au sens de l'art. 7 al. 1 let. b et al. 2 let. b LRS. d) Quelques tribunaux cantonaux ont eu l'occasion de traiter de projets fondés sur l'art. 7 al. 1 let. b et al. 2 let. b LRS. En particulier, le Tribunal cantonal valaisan a annulé les permis de construire trois chalets destinés à l'hébergement touristique organisé en raison de l'insuffisance des services hôteliers proposés et des infrastructures hôtelières prévues (arrêt A1 16 10 du 6 octobre 2016 consid. 4.3, publié in: RDAF 2017 I p. 68 et RVJ 2017 p. 13). De même, la CDAP a refusé de reconnaître un hébergement touristique organisé dans un projet dénué d'infrastructure de type hôtelier, telle qu'un centre avec une entrée principale et une réception ou des installations communautaires, la constructrice ne produisant pas davantage de plan financier permettant de comprendre comment elle entendait assurer le financement nécessaire à la construction et à l'exploitation des logements projetés, de manière à rester compétitive à long terme (AC.2015.0015 du 18 mars 2016 consid. 2e). Le Tribunal administratif du canton des Grisons a en revanche confirmé l'autorisation accordée pour deux logements touristiques organisés, au vu de la teneur du contrat de commercialisation et des charges prévues par le permis de construire (arrêt R 17 66 du 10 juillet 2018 consid. 4, résumé in: DC 2019 p. 91). La Cour de céans a également confirmé la validité d'un concept d'hébergement touristique organisé: en particulier, aucun des logements projetés n'était équipé d'une cuisine ni ne permettait du reste une telle réalisation; la transformation du chalet existant en une réception comportait la surface suffisante pour l'organisation d'une salle à manger et la préparation des petits déjeuners avec tous les services liés à une réception hôtelière (AC.2016.0206 du 24 octobre 2017 consid. 2c). Certains auteurs se sont également penchés sur les conditions posées par l'art. 7 al. 1 let. b et al. 2 let. b LRS (cf. Aron Pfammatter, in: Wolf/Pfammatter (éd.), Zweitwohnungsgesetz [ZWG] – unter Einbezug der Zweitwohnungsverordnung (ZWV), Berne 2017, n. 23 ss ad art. 7; Jonas Alig, Das Zweitwohnungsgesetz, ZBl 117/2016, pp. 227 ss, spéc. pp. 234 s.; David Equey, Résidences secondaires: de l’Initiative «Weber» à la législation et à la réglementation d’application, in: Jusletter du 8 février 2016, pp. 37 ss). e) Il convient d'examiner brièvement le concept proposé en l'espèce. Il découle des plans mis à l'enquête que le projet porte sur la réalisation de quatre chalets (A, B, C et D) de cinq appartements chacun. Les chalets A et B disposent d'un sous-sol commun, comprenant dix caves, un local technique, un local de stockage, un local à skis, un local à vélos, un parking de dix places, une buanderie, trois WC, une salle de jeu, un sauna/wellness/fitness, un carnotzet et une réception. La terrasse desservant le sauna/wellness/fitness supporte également un jacuzzi extérieur. En d'autres termes, le projet comporte vingt appartements indépendants, ainsi que des locaux communs à l'ensemble de ceux-ci, tels qu'une salle de jeu, un sauna/wellness/fitness avec jacuzzi extérieur, un carnotzet et une réception. Pour le surplus, les seules informations mises à disposition de la commune avant la délivrance du permis de construire consistaient en la lettre d'intention du 28 février 2017 de la société I.________ Sàrl. La constructrice a complété le dossier pendant la présente procédure de recours, en expliquant notamment qu'elle entendait constituer sur les chalets en cause une propriété par étages (PPE). Elle a déposé, le 7 juin 2018, le projet d'acte constitutif de la PPE, le projet des plans des lots, le projet de règlement d'administration et d'utilisation de la PPE, une nouvelle lettre d'intention signée en juin 2018 entre elle-même, la société J.________ SA et la société I.________ Sàrl, ainsi qu'un projet de contrat de mise à disposition locative des lots de PPE. Le 11 février 2019, elle a encore communiqué une proposition de contrat du 7 février 2019 de l'entreprise M.________, un mémorandum d'entente passé les 1 er et 10 février 2019 entre elle-même et le restaurant K.________ à Gryon, ainsi qu'une déclaration d'intention de février 2019 de son administrateur. Des explications complémentaires ont encore été fournies à l'audience du 12 février 2019. En bref, elle soutient que sa volonté consiste bien à créer un établissement d'hébergement touristique organisé au sens de la loi sur les résidences secondaire. Elle précise qu'elle considère que son projet est viable et qu'il répond à une demande largement suffisante, sans quoi elle ne s'y lancerait pas. Elle ajoute qu'elle entend garantir, par l'aménagement des locaux et infrastructures nécessaires, ainsi que par la conclusion de contrats adéquats avec ses partenaires et les acheteurs de lots, que les critères légaux seront respectés. Elle souligne enfin qu'il lui est difficile de déterminer à ce jour l'identité de ses futurs partenaires ainsi que les modalités précises de collaboration, dès lors qu'il s'agit de bâtiments qui ne seront pas édifiés avant plusieurs années. De leur côté, les recourants contestent, d'une part, que le projet corresponde aux exigences posées par la législation et les directives fédérales relatives aux hébergements touristiques organisés, notamment au niveau des services offerts ainsi que de la structure et de l'organisation, doutant ainsi que la constructrice puisse garantir la création de lits chauds. Ils dénient également, d'autre part, la viabilité financière et commerciale du projet, en particulier au regard de l'offre et de la demande (para-)hôtelière de la région, craignant en ce sens que la constructrice ne fasse usage de l'art. 14 LRS. Enfin, les recourants soutiennent que le projet ne serait de toute façon pas conforme à la servitude de restriction au droit de bâtir, interdisant d'exploiter des établissements publics, incompatibilité qui devrait, cas échéant, être prise en considération dans l'appréciation du risque de recours à l'art. 14 LRS. Ces questions souffrent de demeurer indécises, les recours devant de toute façon être admis pour un autre motif (consid. 5b et 5c infra). Au demeurant, le concept d'exploitation présenté par la constructrice a sensiblement avancé pendant la procédure et semble rester encore sujet à évolution, si bien qu'il apparaît prématuré de le traiter ici de manière approfondie.</w:t>
      </w:r>
    </w:p>
    <w:p>
      <w:r>
        <w:rPr>
          <w:b/>
        </w:rPr>
        <w:t>E. 5</w:t>
      </w:r>
    </w:p>
    <w:p>
      <w:r>
        <w:t>Les recourants A.________ et B.________ et consorts affirment enfin que les normes régissant la police des constructions ne seraient pas respectées. a) Selon la jurisprudence constante, la municipalité jouit d’un certain pouvoir d’appréciation dans l’interprétation qu’elle fait des règlements communaux (CDAP AC.2018.0305 du 12 mars 2019 consid. 4b et les références citées).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AC.2016.0310 du 2 mai 2017 consid. 5d et la référence citée).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TF 1C_138/2010 du 26 août 2010 consid. 2.6). Lorsque plusieurs interprétations sont envisageables, il faut s’en tenir à celle qui respecte l’exigence d’une base légale précise pour les restrictions du droit de propriété issues du droit public (CDAP AC.2017.0440, 2017.0444 et 2017.0446 du 7 janvier 2019 consid. 4a/dd et les références citées). b) Les distances, modalités d'implantation et dimensions à respecter par les constructions sises dans la zone de chalets B, dans laquelle est colloquée la parcelle litigieuse, sont régies par les art. 29 (par renvoi), 36, 37, 38, 40, 62, 63, 67 et 74 RPPA-ECVA ainsi qu'il suit: " Article 29   Ordre L'ordre non contigu est obligatoire. Article 36   Distance La distance entre les façades et la limite de la propriété voisine est de 10 m au minimum. Cette distance est doublée entre bâtiments sis sur une même propriété. Article 37 Hauteur - longueur La hauteur de la façade orientée vers l'aval, mesurée du terrain aménagé au faîte, ne dépasse pas 10,80 m. La longueur de la plus grande façade n'excède pas 18 m. Article 38 Embouchature L'embouchature selon l'art. 68 est calculée à partir du 3 ème niveau, le rez-de-chaussée comptant pour le 1 er niveau. Article 40   Rapport de surface La proportion entre la surface construite et la surface du terrain n'excède pas le 1/10. Article 62 Surfaces bâties La surface bâtie se calcule sur le niveau de la plus grande surface,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Article 63 Distance La distance entre un bâtiment et la limite de la propriété voisine est mesurée au nu de la façade,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Le long du domaine public, lorsqu'il n'y a pas d'alignement, l'art. 36 de la Loi sur les Routes du 10 décembre 1991 est applicable. Article 67 Proportion des façades La hauteur de la façade orientée vers l'aval, mesurée du terrain aménagé au faîte, ne doit pas excéder: a) les 4/5 de sa longueur pour les façades n'excédant pas 11 m. b) les 3/5 de sa longueur pour les façades supérieures à 11 m . Article 74 Dépendances souterraines Pour la construction de garages en limites de propriété, l'art. 39 RATC est applicable. Les garages comprenant plusieurs places, les locaux pour la pratique du sport et locaux de service dont trois façades sont enterrées et dont le 60% au moins du volume est réalisé en dessous du niveau du terrain naturel, ne sont pas compris - dans le calcul de la surface bâtie, - dans le calcul de la proportion des façades, - dans le calcul de la distance à la limite. Toutefois, pour de telles constructions, la distance aux fonds voisins est de 2 m au minimum ". c) En l'occurrence, pose problème en première ligne la qualification des sous-sols prévus, spécifiquement du sous-sol commun aux chalets A et B. aa) Dans sa jurisprudence, l'ancienne Commission cantonale de recours en matière de construction (CCR) a précisé que les règles relatives à la proportion de la surface bâtie par rapport à la surface de la parcelle tendent à limiter la densité du sol. Sauf dispositions contraires des règlements communaux, elles doivent s'appliquer aux ouvrages souterrains, sans quoi la densité apparente ne correspondrait pas à la densité réelle (RDAF 1965 p. 212; RDAF 1975 p. 144, cités in : AC.2004.0290 du 20 mars 2006 consid. 7c). Cette jurisprudence a trouvé son expression à l'art. 84 de la loi vaudoise du 4 décembre 1985 sur l'aménagement du territoire et les constructions (LATC; BLV 700.11), qui dispose: " Article 84   Constructions souterraines Le règlement communal peut prévoir que les constructions souterraines ou semi-enterrées ne sont pas prises en considération: - dans le calcul de la distance aux limites ou entre bâtiments; - dans le coefficient d'occupation du sol. Cette réglementation n'est applicable que dans la mesure où le profil et la nature du sol ne sont pas sensiblement modifiés et s'il n'en résulte pas d'inconvénient pour le voisinage ".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En d'autres termes, les communes peuvent certes réglementer les constructions souterraines, mais doivent s'en tenir au cadre fixé par l'at. 84 LATC. La jurisprudence a précisé que la construction souterraine dont l’impact visuel est important modifie de manière sensible la configuration des lieux et ne peut bénéficier de la dérogation prévue par l’art. 84 al. 1 LATC (CDAP AC.2009.0074 du 29 janvier 2010 consid. 2c, confirmé par TF 1C_137/2010 du 24 juin 2010; CDAP AC. 2009.0233 du 21 mai 2010 consid. 1b; CDAP AC.2008.0145 du 31 août 2009 consid. 6). Ainsi, le critère déterminant pour apprécier si la configuration des lieux n’est pas sensiblement modifiée au sens de l’art. 84 al. 2 LATC dépend aussi de l’impact visuel de la construction souterraine dans l’environnement construit, non pas de savoir si la construction se trouve en grande partie sous le niveau du terrain naturel (cf. CDAP AC.2009.0074 précité consid. 2c). bb) En l’espèce, le sous-sol commun aux chalets A et B comptera une longueur d'environ 50 m et une profondeur de l'ordre de 20 m, à savoir une surface d'environ 1'000 m 2 . Ce sous-sol débordera largement de l'emprise des niveaux supérieurs (laquelle s'étend sur environ 200 m 2 par chalet, soit 400 m 2 au total), à raison d'une aire supplémentaire d'environ 600 m 2 . En particulier, il s'avancera de plusieurs mètres par rapport à la façade aval, à raison d'environ 4 m pour le chalet A et d'environ 10 m pour le chalet B. La dalle de toiture de ce sous-sol supportera une couche de terre, puis les terrasses desservant les rez des deux chalets (sur une profondeur de 3 m dès la façade de ceux-ci). La face aval du sous-sol sera entièrement apparente, ses autres côtés étant pour l'essentiel ensevelis dans le terrain naturel en pente et, pour le solde, dissimulés par des aménagements rocheux. Enfin, ladite face aval, dont on rappelle qu'elle présente une longueur d'environ 50 m, sera non seulement totalement dégagée, mais présentera encore de nombreuses ouvertures vitrées de haut en bas, sur une longueur cumulée d'environ 17 m. En d'autres termes, cet ouvrage semi-souterrain comportera des dimensions imposantes et impliquera nécessairement des mouvements de terre importants, entraînant par conséquent une modification sensible de la nature et du profil du sol. De plus, compte tenu de la longueur considérable de sa face aval apparente, de 50 m (à savoir presque trois fois plus longue que le maximum de 18 m imposé aux façades par l'art. 37 RPPA-ECVA), il marquera distinctement le paysage et aura un impact visuel manifestement excessif (cf. aussi CDAP AC.2011.0320 du 31 juillet 2012 consid. 3c/bb). Il en ira d'autant plus que les environs, comportant des chalets à l'architecture plutôt traditionnelle érigés selon une mesure de très faible densité dans un milieu arborisé et verdoyant, sont dénués de constructions de telles dimensions (cf. inspection locale, www.geo.vd.ch et www.google.ch/maps). Enfin, le traitement de la face aval apparente du sous-sol, caractérisée par des baies vitrées d'une longueur cumulée de 17 m environ, contribuera encore à détonner dans le style et l'échelle des bâtis avoisinants, et ne réussira pas à évoquer un socle, ni à réaliser une architecture intégrée dans son terrain. Le sous-sol des chalets A et B ne remplit dès lors pas les conditions imposées par le droit cantonal, spécifiquement l'art. 84 LATC, pour bénéficier des dérogations réservées aux constructions souterraines. Déjà pour ce motif, c'est ainsi à tort que la municipalité a retenu que cet ouvrage entrait dans le champ d'application de l'art. 74 RPPA-ECVA, applicable selon sa note marginale aux "dépendances souterraines". cc) Pour le surplus, on rappelle que l'art. 74 RPPA-ECVA n'est applicable qu'aux " garages comprenant plusieurs places", aux "locaux pour la pratique du sport" et aux "locaux de service". Comme exposé ci-dessus, le sous-sol commun des chalets A et B comprend dix caves, un local technique, un local de stockage, un local à skis, un local à vélos, un parking de dix places, une buanderie, trois WC, une salle de jeu, un sauna/wellness/fitness avec jacuzzi extérieur, un carnotzet et une réception. Usuellement, la notion de "locaux de service" sis dans des niveaux souterrains se rapporte aux surfaces destinées aux installations techniques (telles que chauffage ou électricité), aux caves, aux buanderies, aux lieux de stockage ainsi qu'aux locaux d'un usage similaire. A cet égard, la municipalité explique qu'elle interprète de manière constante l'art. 74 RPPA-ECVA en ce sens que sont "de service" les locaux qui ne sont pas affectés au logement. Selon la jurisprudence, la qualification d'ouvrage souterrain – ou en sous-sol – ne doit pas servir à détourner les dispositions fixant le nombre de niveaux admissibles dans la zone (cf. prononcé n° 2'611 du 1 er mai 1972 résumé à la RDAF 1974 p. 224, cité in: CDAP AC.2006.0044 du 30 octobre 2006 consid. 5b; CDAP AC.2006.0020 du 2 juillet 2007 consid. 3c). Une telle faculté ne doit pas davantage permettre d'éluder les autres règles de police des constructions, en particulier celles relatives à l'implantation et aux dimensions des bâtiments. Il en découle, comme le relève à juste titre la municipalité, que ces ouvrages ne doivent pas servir à l'habitation. Cela étant, pour les mêmes raisons, de tels locaux ne doivent pas davantage être dévolus à une activité professionnelle ou commerciale (cf. encore sur ce point CDAP AC.2004.0290 du 20 mars 2006 consid. 7d, retenant implicitement que l'art. 74 RPPA-ECVA exclut les activités commerciales; voir également l'art. 39 al. 2 in fine du règlement vaudois du 19 septembre 1986 d'application de la LATC [RLATC; BLV 700.11.1], selon lequel les dépendances ne peuvent en aucun cas servir à l'habitation ou à l'activité professionnelle). Or, une "réception", à savoir un lieu destiné à une prestation hôtelière d'accueil des clients conforme à l'art. 7 al. 2 let. b LRS, bénéficiant qui plus est de conditions de hauteur, d'éclairage et de ventilation (la façade étant vitrée) conformes aux exigences de salubrité imposées aux locaux servant à l'habitation et au travail sédentaire (cf. art. 27 et 28 RLATC), constitue un local destiné à une activité professionnelle ou commerciale, à exclure du champ d'application de l'art. 74 RPPA-ECVA réservé aux dépendances souterraines. Il en va pareillement du prétendu "carnotzet", s'agissant en réalité d'une salle de restauration hôtelière à la façade entièrement vitrée, où seraient servis les petits déjeuners et autres repas commandés par les hôtes, étant précisé qu'il respecte également les critères de salubrité imposés par les art. 27 et 28 RLATC. Pour ce second motif, ce niveau ne peut donc pas être qualifié de dépendance souterraine. d) Le sous-sol commun aux chalets A et B n'entrant pas dans le champ d'application de l'art. 74 RPPA-ECVA, il doit compter, en particulier, dans la surface bâtie. A cet égard, on relève que l'art. 40 RPPA-ECVA prévoit un coefficient d'occupation du sol de 1/10 ème . La surface de la parcelle litigieuse étant de 8'290 m 2 , la surface bâtie maximale doit ainsi être arrêtée à 829 m 2 . Or, la surface bâtie du projet atteint 828 m 2 , sans l'extension du sous-sol, de l'ordre de 600 m 2 (cf. consid. 5c/bb supra). La prise en considération de ce débordement dans la surface bâtie entraîne par conséquent la violation de l'art. 40 RPPA-ECVA. De même, il y a lieu d'inclure ce niveau dans l'appréciation de la longueur des façades, limitée à 18 m selon l'art. 37 RPPA-ECVA. Avec ses 50 m, il dépasse donc assurément le maximum autorisé. Le projet s'avère dès lors illicite et le recours doit être admis sous ces aspects. e) Dans ces conditions, une fois de plus, les autres questions de police des constructions peuvent rester ouvertes. Il en va ainsi, en particulier, de la notion de "terrain aménagé" à partir duquel il convient de calculer la hauteur des façades selon l'art. 37 RPPA-ECVA, qui équivaudrait selon la municipalité au niveau du rez (i.e. de la terrasse couvrant le sous-sol) lorsqu'il existe un décrochement du sous-sol d'au moins 4 m, mais selon les recourants au niveau du sous-sol lorsque celui-ci est dégagé, indépendamment de tout décrochement. Tel est également le cas des questions de distances à la limite, de hauteur, de taille des ouvertures en toiture, d'implantation des places de parc extérieures, des voies d'accès et du trafic.</w:t>
      </w:r>
    </w:p>
    <w:p>
      <w:r>
        <w:rPr>
          <w:b/>
        </w:rPr>
        <w:t>E. 6</w:t>
      </w:r>
    </w:p>
    <w:p>
      <w:r>
        <w:t>Vu ce qui précède, les recours doivent être admis et les décisions de la municipalité du 5 octobre 2017 doivent être annulées. Dans ces conditions, il convient également d'annuler, conformément aux conclusions de la recourante A.________ , les autorisations spéciales délivrées par l'ECA et la DGE le 12 septembre 2017. Succombant, la constructrice doit assumer les frais judiciaires, de même que les dépens dus à la municipalité et aux recourants A.________ , B.________ et consorts et Helvetia Nostra , étant précisé que celle-ci s'est limitée à invoquer la législation sur les résidences secondaires (sur les griefs pouvant être soulevés par les organisations habilitées à recourir selon l'art. 12 LPN, cf. CDAP AC.2014.0038 du 20 août 2015 consid. 5a).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