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AC.2017.0334 vom 25. Juni 2018</w:t>
      </w:r>
    </w:p>
    <w:p>
      <w:r>
        <w:t>VD Tribunal cantonal, 2018-06-25, FR</w:t>
      </w:r>
    </w:p>
    <w:p>
      <w:r>
        <w:rPr>
          <w:b/>
        </w:rPr>
        <w:t xml:space="preserve">Quelle: </w:t>
      </w:r>
      <w:r>
        <w:t>https://mcp.opencaselaw.ch/entscheid/vd_omni_AC.2017.0334</w:t>
      </w:r>
    </w:p>
    <w:p>
      <w:r>
        <w:t>FR: VD_OMNI AC.2017.0334 du 25 juin 2018</w:t>
      </w:r>
    </w:p>
    <w:p>
      <w:r>
        <w:t>IT: VD_OMNI AC.2017.0334 del 25 giugno 2018</w:t>
      </w:r>
    </w:p>
    <w:p>
      <w:pPr>
        <w:pStyle w:val="Heading2"/>
      </w:pPr>
      <w:r>
        <w:t>Regeste</w:t>
      </w:r>
    </w:p>
    <w:p>
      <w:r>
        <w:t>A.________, B.________/Municipalité de Chardonne, PATRIMOINE SUISSE, C.________, D.________, E.________, F.________, G.________, H.________, I.________, J.________, K.________, L.________, COMMISSION CONSULTATIVE DE LAVAUX, N.________ | Confirmation du refus d'autoriser, dans un terrain en forte pente avec une succession de terrasses, cinq bâtiments dont les deux plus élevés – bien que règlementaires - seraient implantés en bordure d'une terrasse et au sommet de murs de soutènement, dominant la route de Châtel et les bâtiments environnants. Recours TF 1C_406/2018 radié du rôle par suite de retrait de recours (Ordonnance du TF du 20 août 2019).</w:t>
      </w:r>
    </w:p>
    <w:p>
      <w:pPr>
        <w:pStyle w:val="Heading2"/>
      </w:pPr>
      <w:r>
        <w:t>Erwägungen</w:t>
      </w:r>
    </w:p>
    <w:p>
      <w:r>
        <w:rPr>
          <w:b/>
        </w:rPr>
        <w:t>E. 1</w:t>
      </w:r>
    </w:p>
    <w:p>
      <w:r>
        <w:t>La municipalité refuse d'autoriser le projet des recourantes de construire cinq bâtiments au motif que deux de ceux-ci ne s'intègreront pas au site. a) En droit cantonal, la question de l'esthétique et de l'intégration est régie par l'art. 86 LATC. Cette disposition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les art. 52 et 56 RPGA, qui figurent dans les règles applicables à toutes les zones, prévoient que la municipalité prend toutes les mesures utiles pour éviter l'enlaidissement du territoire communal (art. 52 al. 1 RPGA) et qu'elle veille particulièrement à ce que les nouvelles constructions aient un aspect architectural s'intégrant au site et n'y jetant pas une note discordante (art. 56 al 1 RPGA).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arrêts AC.2017.0226, 2017.0229 du 5 février 2018 consid. 7b;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arrêts AC.2017.0226, 2017.0229 précité consid. 7b; AC.2016.0052 précité consid. 2b; AC.2014.0208 précité consid. 4a; AC.2011.0065 du 27 janvier 2012 consid. 2).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arrêts précités AC.2016.0052, AC.2014.0208 et AC.2011.0065).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AC.2013.0207 du 26 novembre 2013 consid. 3a). La jurisprudence récente du Tribunal fédéral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1C_337/2015 du 21 décembre 2015 consid. 6.1.1; 1C_92/2015 du 18 novembre 2015 consid. 3.1.3; 1C_849/2013 du 24 février 2015 consid. 3.1.2, cités in AC.2015.0269 du 16 août 2016 consid. 3e). c) En l'espèce, le projet consiste en la construction de cinq bâtiments (de 40 logements au total), ainsi que d'un parking souterrain de 80 places, sur les parcelles 212 et 243 (sises l'une à côté de l'autre, la 212 étant sise à l'Ouest de la parcelle 243) de la commune de Chardonne. Ces parcelles sont sises en amont de la route de Châtel, dans un secteur où le terrain présente une forte pente et la présence de plusieurs terrasses successives. Les cinq bâtiments prévus prendront place sur la grande zone plane que forme la majeure partie des parcelles 212 et 243. Au Sud-Ouest de la parcelle 212, sur le même tracé que le chemin d'accès existant, sera placé le chemin d'accès (depuis la route de Châtel) au parking souterrain. Les cinq bâtiments seront placés en quinconce: les bâtiments A, C et E sur une même ligne au Nord des parcelles, et les bâtiments B et D sur une même ligne au Sud. Les bâtiments A et B, qui prendront place sur la parcelle 212, laquelle est colloquée en zone d'habitation de moyenne densité, présenteront une hauteur au faîte de, respectivement, 15.31 m et 15.66 m. Les bâtiments C, D et E, lesquels prendront place sur la parcelle 243, qui est colloquée en zone d'habitation de faible densité, présenteront, eux, une hauteur au faîte de 12.48 m (bâtiment C), 12.68 m (bâtiment D) et 13.83 m (bâtiment E). La municipalité refuse le projet au motif que les bâtiments A et B ne s'intégreront pas dans le bâti existant, en raison de leur volume imposant. Elle se fonde sur les trois préavis de la Commission communale d'urbanisme, selon lesquels les dimensions des bâtiments A et B, bien que réglementaires, sortent du gabarit général du bâti environnant. Les opposants (Patrimoine Suisse-Section vaudoise, E.________ et consorts ainsi que C.________ et D.________) considèrent également que les bâtiments A et B ne s'intègreront pas. Les recourantes font valoir que le projet est conforme au règlement. Elles contestent qu'il ne s'intègrera pas, dès lors que la Commission consultative de Lavaux a émis un préavis favorable. Elles font valoir que le volume des bâtiments prévus est en adéquation avec ceux des bâtiments sis alentour. Lors de l'audience que le tribunal a tenue le 18 avril 2018, le préfet Daniel Flotron, qui préside la Commission consultative de Lavaux, a confirmé que celle-ci a émis un avis positif concernant l'esthétique du projet. Il a souligné qu'elle s'est prononcée avant que les gabarits soient posés. d) Lors de l'inspection locale qui a suivi l'audience du 18 avril 2018, le tribunal a constaté que le tissu bâti du secteur en amont de la route de Châtel est très hétérogène, et même hétéroclite: s'y côtoient des chalets, des villas des années huitante, d'anciennes maisons qui ont fait l'objet d'ajouts, des villas contemporaines ainsi que des immeubles en PPE de deux étages. Une constante demeure toutefois: la volumétrie des bâtiments. Or, avec leur hauteur au faîte de respectivement 15.31 m et 15.66 m, une longueur de façades aval de 17.73 m et une profondeur comprise entre 15.30 m et 15.85 m, les bâtiments A et B – bien qu'ils soient règlementaires - sortent de l'échelle du bâti environnant. Cette différence se marquera également par rapport aux bâtiments C, D et E, dès lors que les bâtiments A et B mesureront 3 m de plus au faîte qu'eux. Par ailleurs, alors que tous les volumes bâtis alentour prennent place dans la pente, le bâtiment B, lui, sera posé en extrémité côté aval du plateau soutenu par des murs de soutènement - actuels et projetés. Cette situation le placera très en-dessus de la route de Châtel, dans une configuration visible depuis la rue principale de Chardonne, en opposition voire en domination des autres bâtiments d’habitation. Il apparaît dès lors que c'est à juste titre que la municipalité a considéré que le projet ne s'intégrera pas dans le paysage. e) Il résulte de ce qui précède que, s'agissant de l'intégration et de l'esthétique du projet litigieux, la décision communale repose sur une appréciation des circonstances pertinente, et que la municipalité, en considérant que le projet posait un problème d'intégration dans le paysage, n'a pas abusé de la liberté d'appréciation particulière dont elle dispose en la matière. Partant, le refus du permis de construire pour ce motif ne saurait être remis en cause par l'autorité de recours.</w:t>
      </w:r>
    </w:p>
    <w:p>
      <w:r>
        <w:rPr>
          <w:b/>
        </w:rPr>
        <w:t>E. 2</w:t>
      </w:r>
    </w:p>
    <w:p>
      <w:r>
        <w:t>Lors de l'audience, les opposants E.________ et consorts ont demandé que le tribunal ordonne à A.________ de produire les quatre autres dossiers produits dans le cadre de l'étude parallèle menée par les Q.________. Toutefois, au vu des considérations qui amènent à rejeter le recours, il n'y a pas lieu d'ordonner une telle production. La demande est dès lors rejetée.</w:t>
      </w:r>
    </w:p>
    <w:p>
      <w:r>
        <w:rPr>
          <w:b/>
        </w:rPr>
        <w:t>E. 3</w:t>
      </w:r>
    </w:p>
    <w:p>
      <w:r>
        <w:t>Il résulte des considérants qui précèdent que le recours doit être rejeté et la décision attaquée confirmée Les recourantes, qui succombent, supportent les frais de justice (art. 49 LPA-VD). La municipalité, les opposant C.________ et D.________, ainsi que les opposants E.________ et F.________, G.________ et H.________, I.________, J.________, K.________ et L.________ ont droit à des dépens, à charge des recourantes (art.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