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AC.2017.0311 vom 14. Juni 2018</w:t>
      </w:r>
    </w:p>
    <w:p>
      <w:r>
        <w:t>VD Tribunal cantonal, 2018-06-14, FR</w:t>
      </w:r>
    </w:p>
    <w:p>
      <w:r>
        <w:rPr>
          <w:b/>
        </w:rPr>
        <w:t xml:space="preserve">Quelle: </w:t>
      </w:r>
      <w:r>
        <w:t>https://mcp.opencaselaw.ch/entscheid/vd_omni_AC.2017.0311</w:t>
      </w:r>
    </w:p>
    <w:p>
      <w:r>
        <w:t>FR: VD_OMNI AC.2017.0311 du 14 juin 2018</w:t>
      </w:r>
    </w:p>
    <w:p>
      <w:r>
        <w:t>IT: VD_OMNI AC.2017.0311 del 14 giugno 2018</w:t>
      </w:r>
    </w:p>
    <w:p>
      <w:pPr>
        <w:pStyle w:val="Heading2"/>
      </w:pPr>
      <w:r>
        <w:t>Regeste</w:t>
      </w:r>
    </w:p>
    <w:p>
      <w:r>
        <w:t>ASSOCIATION SAUVER LAVAUX, A.________, B.________/Municipalité de Bourg-en-Lavaux, C.________, COMMISSION CONSULTATIVE DE LAVAUX, Service du développement territorial, D.________, E.________ | Recours d'une association et de voisins contre le permis de construire délivré par la municipalité pour la construction de deux villas. Compte tenu notamment de la situation de la parcelle dans le périmètre de centre (qui n'est pas surdimensionné), il n'était pas nécessaire de faire application de l'art. 77 LATC (consid. 3b). L'application de la LLavaux n'impose pas non plus un refus de permis (consid. 3c). Le projet est suffisamment intégré au contexte existant (consid. 4). Pas d'empiètement sur les espaces réglementaires (consid. 5). L'orientation des bâtiments est réglementaire (consid. 6). Le fractionnement prévu de la parcelle est admissible (consid. 7). L'accès à la parcelle, bien qu'étroit, est suffisant, y compris pour les services de secours (consid. 8). Recours rejeté.</w:t>
      </w:r>
    </w:p>
    <w:p>
      <w:pPr>
        <w:pStyle w:val="Heading2"/>
      </w:pPr>
      <w:r>
        <w:t>Erwägungen</w:t>
      </w:r>
    </w:p>
    <w:p>
      <w:r>
        <w:rPr>
          <w:b/>
        </w:rPr>
        <w:t>E. 1</w:t>
      </w:r>
    </w:p>
    <w:p>
      <w:r>
        <w:t>La voie du recours de droit administratif, au sens des art. 92 ss de la loi du 28 octobre 2008 sur la procédure administrative (LPA-VD; RSV 173.36), est ouverte contre la décision d'une municipalité qui octroie un permis de construire en rejetant les oppositions. Les recourants A.________ et B.________ ont vu leur opposition levée dans le cadre de la procédure de permis de construire. Etant en outre propriétaires d'habitations sur la parcelle n o 5884 située directement en amont de la parcelle accueillant le projet de construction et ayant également la propriété des parcelles n o 5887 et 5888 directement en aval, ils ont manifestement qualité pour recourir au sens de l'art. 75 LPA-VD par renvoi de l'art. 99 LPA-VD (cf. AC.2016.0445 du 29 novembre 2017 consid. 2a). Concernant l'association recourante Sauver Lavaux, sa qualité pour recourir découle en l'espèce de l'art. 52a de la Constitution cantonale (Cst-VD; RSV 101.01). Cette disposition prévoit que "la région de Lavaux, de la Lutrive à Corsier, est déclarée site protégé" (art. 52a al. 1 Cst-VD). Le périmètre du plan de protection est défini précisément par la LLavaux et la parcelle concernée est incluse dans ce périmètre (cf. art. 2 LLavaux, renvoyant à la carte figurant en annexe de la loi). Aux termes de l'art. 52a al. 2 Cst-VD, toute atteinte à la protection de la région de Lavaux "peut être attaquée sur le plan administratif ou judiciaire par ceux qui sont lésés et par les associations de protection de la nature et celles de la protection du patrimoine". Selon la jurisprudence cantonale, l'association Sauver Lavaux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(cf. art. 75 let. b LPA-VD). Dans ce cadre, l'association Sauver Lavaux peut se plaindre d'une violation des normes définissant la protection de la région de Lavaux ainsi que des normes des règlements communaux de police des constructions qui concrétisent la LLavaux (cf. AC.2017.0003 du 14 décembre 2017 consid. 1; AC.2014.0007 du 17 avril 2014 consid. 1). Pour le reste, le présent recours a été déposé dans le délai légal (art. 95 LPA-VD) et il respecte les exigences formelles de l'art. 79 LPA-VD (par renvoi de l'art. 99 LPA-VD), de sorte qu'il y a lieu d'entrer en matière sur le fond.</w:t>
      </w:r>
    </w:p>
    <w:p>
      <w:r>
        <w:rPr>
          <w:b/>
        </w:rPr>
        <w:t>E. 2</w:t>
      </w:r>
    </w:p>
    <w:p>
      <w:r>
        <w:t>La Commune de Bourg-en-Lavaux a été créée le 1 er janvier 2011 par la fusion de plusieurs communes, dont celle de Grandvaux sur l'ancien territoire de laquelle est située la parcelle en cause. On rappellera que selon l’art. 12 al. 1 de la loi du 7 décembre 2004 sur les fusions de communes (LFusCom; RSV 175.61), la réglementation en matière d'aménagement du territoire et de police des constructions conserve sa validité à l'intérieur des anciennes limites communales jusqu'à l'entrée en vigueur d'une nouvelle réglementation en la matière dans la nouvelle commune. La Commune de Bourg-en-Lavaux n’ayant pas encore adopté de réglementation uniforme en la matière, le règlement sur le plan d'affectation et la police des constructions de la Commune de Grandvaux est applicable au présent litige.</w:t>
      </w:r>
    </w:p>
    <w:p>
      <w:r>
        <w:rPr>
          <w:b/>
        </w:rPr>
        <w:t>E. 3</w:t>
      </w:r>
    </w:p>
    <w:p>
      <w:r>
        <w:t>Les recourants allèguent tout d'abord qu'il n'était pas possible de délivrer le permis de construire pour le projet en question sans violer les dispositions de la LAT concernant le redimensionnement des zones à bâtir, ainsi que les engagements pris par le Conseil d'Etat lors de la votation sur l'initiative Sauver Lavaux III et son contre-projet. Selon eux, les zones à bâtir de la Commune de Bourg-en-Lavaux sont surdimensionnées et doivent être réduites, tant en vertu de la LAT que de la LLavaux. Estimant que la parcelle n o 5886 se trouve hors du centre de la commune et rappelant qu'elle est plantée en vignes et à proximité immédiate de la zone viticole, les recourants font valoir en substance qu'elle serait susceptible d'être déclassée et ne doit ainsi pas être construite, le permis de construire devant être refusé en application de l'art. 77 de la loi du 4 décembre 1985 sur l’aménagement du territoire et les constructions (LATC; RSV 700.11). Les recourants affirment que la commune a probablement un projet de zone réservée. Pour sa part, la municipalité rappelle que la parcelle en question se trouve dans la zone à bâtir. Elle se prévaut d'un document du 9 octobre 2017 établi par le SDT dans le cadre de l'élaboration du plan d'affectation cantonal (PAC) Lavaux, dont il ressort que la parcelle n o 5886 devrait être maintenue dans le périmètre de centre de la commune. Le SDT a confirmé cette information dans le cadre de la présente procédure, soulignant que la commune n'est pas surdimensionnée dans le périmètre de centre; il se réfère à ce sujet à la mesure A11 du PDCn telle que prévue par la 4 ème adaptation dudit plan, à présent en vigueur. a) On rappellera tout d'abord que Cully est un centre régional au sens de la mesure B11 du PDCn (p. 108) et que la parcelle n o 5886 se trouve à l'intérieur du périmètre de centre actuellement en vigueur, qui a été défini conformément à la mesure B11 et dont le tracé est visible sur la carte de synthèse du PDCn (disponible en ligne à l'adresse www.pdcn.vd.ch). Plus précisément, cette parcelle se situe en l'occurrence au bord sud de la zone de villas au sens des art. 7 ss RPGA et à proximité d'autres bâtiments (étant rappelé qu'un projet de construction de plusieurs habitations est en cours sur la parcelle voisine n o 5885). On constate de manière générale que cette zone est déjà largement bâtie; elle est également équipée au sens de l'art. 19 al. 2 LAT. Il ne s'agit pas d'une petite zone à bâtir isolée et insérée dans le territoire agricole ou viticole, comme dans l'affaire jugée le</w:t>
      </w:r>
    </w:p>
    <w:p>
      <w:r>
        <w:rPr>
          <w:b/>
        </w:rPr>
        <w:t>E. 7</w:t>
      </w:r>
    </w:p>
    <w:p>
      <w:r>
        <w:t>Selon les recourants, le fractionnement de la parcelle n o 5886 prévu par le projet serait artificiel et insolite et ne viserait qu'à maximiser le potentiel constructible de celle-ci; il devrait pour cette raison être refusé. a) En vertu de l'art. 83 al. 1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Outre cette disposition, la jurisprudence admet que le fractionnement d'une parcelle effectué par le moyen d'un tracé inhabituel et insolite puisse être refusé sous l'angle de l'abus de droit. Il convient notamment d'éviter que la parcelle présente une forme telle que l'application des règles sur les distances aux limites et sur la densité du bâti aboutisse à un résultat étranger aux buts pour lesquels elles ont été édictées (cf. AC.2016.0137 du 6 juillet 2017 consid. 4 et les références citées; AC.2010.0037 du 28 septembre 2011 consid. 3b). Cela n'empêche pas que des parcelles aux formes particulières, comportant notamment des bandes de terrains plus étroites, puissent être autorisées (cf. par exemple AC.2007.0116 du 30 septembre 2008 consid. 6c). b) En l'espèce, il est prévu que la parcelle soit morcelée en une partie ouest de 820 m 2 et une partie est de 908 m 2 . Visuellement, la parcelle serait donc simplement séparée en deux parties relativement égales, avec la particularité que la parcelle ouest serait prolongée par une étroite bande de terrain se prolongeant vers l'est en suivant l'intégralité de la limite sud de la parcelle n o 5886 actuelle. Mise à part cette bande de terrain, la limite commune des deux futures parcelles se situerait globalement à distance égale des deux villas projetées; son tracé ne serait pas rectiligne car il s'adapterait à la configuration des façades (décrite plus haut). c) Cette manière de faire permet visiblement aux constructrices de s'assurer que chacune des deux parcelles prévues dispose de la surface minimale de 800 m 2 imposée par l'art. 12 RPGA pour rendre un terrain constructible, ce qui n'est pas en soi prohibé. En l'occurrence, on ne voit pas en quoi le fractionnement aboutirait à un résultat constitutif d'un abus de droit, s'agissant de la construction de deux villas de taille modeste implantées d'une manière qui ne sort pas de l'ordinaire, globalement au centre de leurs futures parcelles respectives. Il n'apparaît pas que ce fractionnement ait pour but de détourner les règles afférentes notamment au coefficient d'utilisation du sol (CUS) ou aux distances aux limites. Au final, le grief doit être rejeté.</w:t>
      </w:r>
    </w:p>
    <w:p>
      <w:r>
        <w:rPr>
          <w:b/>
        </w:rPr>
        <w:t>E. 8</w:t>
      </w:r>
    </w:p>
    <w:p>
      <w:r>
        <w:t>Les recourants mettent aussi en cause l'accès à la parcelle n o 5886, qui serait insuffisant. Ils allèguent que celui-ci ne serait pas assez large pour que deux voitures s'y croisent, ne serait pas adapté à l'accès des véhicules lourds de sauvetage et ne serait pas conformes aux directives concernant l'accès par les sapeurs-pompiers. a) 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(TF 1C_225/2017 du 16 janvier 2018 consid. 4.1 et les références citées; 1C_52/2017 du 24 mai 2017 consid. 5.2; AC.2017.0011 du 14 août 2017 consid. 2a). Les autorités communales disposent en ce domaine d'un important pouvoir d'appréciation. Elles peuvent également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(TF 1C_225/2017 précité consid. 4.1; 1C_532/2012 du 24 avril 2013 consid. 3.1 et les références citées). b) En l'occurrence, le Chemin de la Charrerette (DP 1582) ne dessert – compte tenu des villas projetées – qu'une dizaine d'habitations. Il peut donc être considéré comme un "chemin d'accès" au sens de la norme VSS SN 640 045 d'avril 1992, qui place dans cette catégorie les chemins desservant les petites zones habitées comprenant jusqu'à 30 unités de logement (let. C, ch. 8). Selon cette norme, "ce type de route est en fait un chemin piétonnier, prévu pour être occasionnellement parcouru par des véhicules à moteur et dont la superstructure est dimensionnée en conséquence. Pour les rares cas de croisement/dépassement entre des véhicules à moteur, on peut utiliser les accotements et les autres espaces libres". Il ressort du dossier que, même si ce chemin rejoint au sud le réseau routier, l'utilisation de ce tronçon ne sera pas permise aux habitants des futures villas car il s'agit d'un chemin d'amélioration foncière destiné avant tout aux vignerons (cf. la condition contenue à ce sujet dans la lettre de la municipalité du 9 août 2017 accompagnant le permis de construire). La circulation se fera donc sur la partie nord du chemin, rejoignant la Route de Cully. Or on ne voit pas en quoi ce tronçon, qui est déjà utilisé par les recourants A.________ et B.________ pour accéder à leur propriété, serait impraticable ou exposerait ses usagers à un quelconque danger. Même s'il est relativement étroit, les habitants des villas projetées ne devront le parcourir que sur une centaine de mètres, à une vitesse forcément réduite. Certes, le croisement avec les rares autres véhicules arrivant en sens inverse ne sera pas possible sur toute la longueur du chemin, mais il existe des dégagements, notamment au niveau des accès des différentes habitations existantes, et les distances en cause sont suffisamment réduites pour que les véhicules puissent si nécessaire reculer. En définitive, il est manifeste que ce chemin est apte à desservir deux villas supplémentaires. c) aa) S'agissant de la question de l'accès par des véhicules lourds de sauvetage, dont les recourants affirment qu'il ne serait pas possible, on précisera tout d'abord qu'il incombe en principe à l'autorité municipale d’appliquer les prescriptions relatives à la protection contre les incendies dans la procédure de permis de construire (cf. AC.2017.0333 du 16 mai 2018 consid. 13a), sous réserve des cas où l'art. 120 al. 1 let. b LATC impose l'octroi d'une autorisation spéciale cantonale pour "les constructions et les ouvrages nécessitant des mesures particulières de protection contre les dangers d'incendie", ce qui n'est pas le cas des deux villas en question. L'art. 1 du règlement du 17 décembre 2014 concernant les prescriptions sur la prévention des incendies (RPPI; RSV 963.11.2) dispose que sont applicables dans le Canton de Vaud la norme de protection incendie du 1 er janvier 2015 de l'Association des établissements cantonaux d'assurance incendie (AEAI) et les directives qui y sont liées (cf. à ce sujet AC.2017.0153 du 3 janvier 2018 consid. 5c; AC.2015.0107 du 20 septembre 2016 consid. 5b). La Coordination Suisse des Sapeurs-Pompiers (CSSP) a dans ce cadre adopté le 18 mars 2015 une "Directive concernant les accès, surfaces de manœuvre et d'appui pour les moyens d'intervention sapeurs-pompiers" (directive CSSP), qui "règle, au sens de l'art. 44 de la norme de protection incendie de l'AEAI, les exigences de base concrètes concernant l'accessibilité des sapeurs-pompiers aux bâtiments et aménagements" (cf. ch. 1, p. 4). Cette directive – qui n'est pas mentionnée par l'art. 1 RPPI – formule des exigences qui varient en fonction de la hauteur des bâtiments concernés. En l'occurrence, les villas en question doivent être considérées comme des "bâtiments de faible hauteur" (soit de moins de</w:t>
      </w:r>
    </w:p>
    <w:p>
      <w:r>
        <w:rPr>
          <w:b/>
        </w:rPr>
        <w:t>E. 11</w:t>
      </w:r>
    </w:p>
    <w:p>
      <w:r>
        <w:t>m) au sens de la directive. Cette dernière décrit la configuration que doivent respecter l'accès et la "surface de manœuvre" pour de telles constructions. On retiendra en particulier qu'il n'est pas nécessaire qu'un véhicule de secours s'arrête au pied de la façade de l'habitation: il est suffisant qu'il puisse s'approcher suffisamment près du bâtiment, la conduite d'eau à déployer ne pouvant excéder 80 m (ch. 8, p. 11 directive CSSP). bb) En l'espèce, les recourants se réfèrent à cette directive sans indiquer aucunement en quoi elle ne serait pas respectée. Dans la décision de levée des oppositions tout comme en audience, la municipalité a confirmé que la commune avait à sa disposition des véhicules d'intervention adaptés à ce type de situations où l'accès est relativement étroit et en pente. On relèvera à ce sujet que, compte tenu des caractéristiques du territoire de la commune de Bourg-en-Lavaux, qui est sillonné à de nombreux endroits par d'étroits chemins en forte pente, la situation de la parcelle n o 5886 est loin d'être exceptionnelle. Il n'existe pas de raisons de remettre en cause l'indication de l'autorité intimée selon laquelle elle dispose de véhicules capables de s'approcher suffisamment des nombreux bâtiments situés sur son territoire dont l'accès est rendu difficile par la topographie et la nature des chemins existants – étant précisé que la commune fait partie du Service de défense contre l'incendie et de secours (SDIS) "Cœur de Lavaux", soit un service qui est spécifique à cette région et donc adapté aux particularités locales. En définitive, on doit retenir que la parcelle en question dispose d'un accès suffisant. 9. Les considérants qui précèdent conduisent au rejet du recours et à la confirmation de la décision attaquée. Les recourants, qui succombent, supporteront les frais de justice, arrêtés à 3'000 fr. (art. 49 al. 1 LPA-VD et 4 al. 1 du tarif du 28 avril 2015 des frais judiciaires et des dépens en matière administrative [TFJDA; RSV 173.36.5.1]). Ils verseront en outre des dépens à l'autorité intimée et aux deux sociétés constructrices, assistées d'un avocat (art. 55 LPA-VD et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