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AC.2017.0280 vom 14. Januar 2019</w:t>
      </w:r>
    </w:p>
    <w:p>
      <w:r>
        <w:t>VD Tribunal cantonal, 2019-01-14, FR</w:t>
      </w:r>
    </w:p>
    <w:p>
      <w:r>
        <w:rPr>
          <w:b/>
        </w:rPr>
        <w:t xml:space="preserve">Quelle: </w:t>
      </w:r>
      <w:r>
        <w:t>https://mcp.opencaselaw.ch/entscheid/vd_omni_AC.2017.0280</w:t>
      </w:r>
    </w:p>
    <w:p>
      <w:r>
        <w:t>FR: VD_OMNI AC.2017.0280 du 14 janvier 2019</w:t>
      </w:r>
    </w:p>
    <w:p>
      <w:r>
        <w:t>IT: VD_OMNI AC.2017.0280 del 14 gennaio 2019</w:t>
      </w:r>
    </w:p>
    <w:p>
      <w:pPr>
        <w:pStyle w:val="Heading2"/>
      </w:pPr>
      <w:r>
        <w:t>Regeste</w:t>
      </w:r>
    </w:p>
    <w:p>
      <w:r>
        <w:t>A.________, B.________, C.________, D.________/Municipalité de Vulliens, E.________, Service du développement territorial, Direction générale de l'environnement DGE-DIRNA | Recours d'opposants à l'encontre d'une décision autorisant la construction, en zone agricole, d'une stabulation libre et d'un silo. Les plans figurant au dossier ont permis aux recourants de se déterminer en connaissance de cause (consid. 2). Les constructions litigieuses sont objectivement nécessaires à l'exploitation agricole du constructeur, bien que la stabulation libre permette de détenir un nombre plus élevé de bovins que ceux actuellement détenus. Le constructeur, qui louait jusqu'à présent un bâtiment dans le village pour héberger ses troupeaux, a un intérêt à pouvoir disposer d'une solution perenne en érigant une nouvelle étable sur une parcelle dont il est propriétaire. Aucun intérêt prépondérant, notamment lié à la préservation du paysage, ne s'oppose aux constructions litigieuses. Le constructeur ne dispose en outre pas de solutions alternatives sur les autres parcelles dont il serait propriétaire (consid. 3). La décision attaquée ne porte pas atteinte au principe de préservation des surfaces d'assolement. Les constructions agricoles sont comprises dans la déduction forfaitaire de 3,5% opérée au niveau cantonal. Le quota des surfaces nettes d'assolement restera ainsi identique une fois les constructions litigieuses réalisées (consid. 4). Il n'y a pas de raison de s'écarter des conclusions d'un rapport hydro-géologique, posant des conditions strictes paraissant proportionnées pour atteindre l'objectif de préservation des eaux souterraines (consid. 5). Le projet respecte en outre la réglementation communale (consid. 6). Recours rejeté. Recours au TF rejeté (1C/96/2019 du 27 mai 2020).</w:t>
      </w:r>
    </w:p>
    <w:p>
      <w:pPr>
        <w:pStyle w:val="Heading2"/>
      </w:pPr>
      <w:r>
        <w:t>Erwägungen</w:t>
      </w:r>
    </w:p>
    <w:p>
      <w:r>
        <w:rPr>
          <w:b/>
        </w:rPr>
        <w:t>E. 1</w:t>
      </w:r>
    </w:p>
    <w:p>
      <w:r>
        <w:t>Le recours est dirigé à la fois contre les décisions accordant les permis de construire pour la stabulation libre et pour le silo-tour et contre celles levant les oppositions des recourants. Rendues par la municipalité en application de la loi du 4 décembre 1985 sur l'aménagement du territoire et les constructions (LATC; BLV 700.11), les décisions attaquées ne sont pas susceptibles de recours devant une autre autorité. La Cour de droit administratif et public du Tribunal cantonal est dès lors compétente pour connaître du recours (art. 92 al. 1 de la loi vaudoise du 28 octobre 2008 sur la procédure administrative; LPA-VD; BLV 173.36). Même si le recours est en l'occurrence formé contre les seules décisions municipales, les griefs invoqués concernent également des points traités par les autorités cantonales dans le cadre de leurs autorisations spéciales; conformément à la jurisprudence, il faut ainsi admettre que le recours est également dirigé contre ces décisions (cf. arrêts CDAP AC.2016.0015 du 23 août 2016 consid. 1 et les références citées; AC.2015.0049 du 22 novembre 2016 consid. 9a). Remis à un bureau de poste suisse à l'adresse de l'autorité compétente dans le délai légal dès la notification de la décision attaquée compte tenu des féries (art. 95 LPA-VD), le recours a été déposé en temps utile et répond pour le surplus aux autres exigences formelles posées par la loi (art. 79 LPA-VD par renvoi de l’art. 99 LPA-VD). Les recourants sont propriétaires en main commune de la parcelle 392 de la commune de Vulliens sur laquelle est érigée une villa située à un peu plus d'une centaine de mètres de l'endroit où sont prévues les constructions litigieuses. Même si un bosquet d'arbres dissimulera les constructions litigieuses à la vue depuis la villa sise sur la parcelle des recourants, ceux-ci seront potentiellement gênés par les nuisances liées à l'exploitation agricoles des bâtiments prévus si bien que leur qualité pour recourir doit être admise (art. 75 al. 1 LPA-VD). Il y a donc lieu d'entrer en matière.</w:t>
      </w:r>
    </w:p>
    <w:p>
      <w:r>
        <w:rPr>
          <w:b/>
        </w:rPr>
        <w:t>E. 2</w:t>
      </w:r>
    </w:p>
    <w:p>
      <w:r>
        <w:t>Les recourants soutiennent que les plans seraient incomplets sur plusieurs points, notamment sur la hauteur du bâtiment prévu, la pente de la toiture, les voies d’accès et de circulation ainsi que sur les places de stationnement. a) Selon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Pour l'essentiel, l'art. 69 du règlement du 19 septembre 1986 d'application de la loi du 4 décembre 1985 sur l'aménagement du territoire et les constructions (RLATC; BLV 700.11.1) règle la matière. De plus, lorsqu’un projet de construction prévoit une dérogation aux règlements ou aux plans d’affectation, celle-ci doit être mentionnée sur le plan de situation authentifié par l’ingénieur géomètre breveté en vertu de l’art. 71 RLATC. La demande de permis de construire et ses annexes sont tenues à disposition du public, pendant le délai d'enquête, au greffe municipal ou au service technique de la commune concernée (art. 72 al. 2 RLATC). La procédure de mise à l’enquête publique est régie notamment par l’art. 109 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(arrêts CDAP AC.2017.0410 du 26 juin 2018 consid. 1b; AC.2017.0264 du 20 avril 2018 consid. 2a et les arrêts cités).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CDAP AC.2017.0410 précité consid. 1b; AC.2017.0264 précité consid. 2a et les arrêts cités).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(arrêts CDAP AC.2017.0179 du 13 juillet 2018 consid. 2b/bb et les arrêts cités; AC.2017.0067 du 6 décembre 2017 consid. 9a). b) En l'espèce, les recourants ne soutiennent pas que les plans figurant au dossier ne leur auraient pas permis de se déterminer en connaissance de cause. Ils font notamment grief aux plans de ne pas "justifier" le volume de 14'000 m</w:t>
      </w:r>
    </w:p>
    <w:p>
      <w:r>
        <w:rPr>
          <w:b/>
        </w:rPr>
        <w:t>E. 3</w:t>
      </w:r>
    </w:p>
    <w:p>
      <w:r>
        <w:t>Sont enfin conformes à l'affectation de la zone les constructions qui servent au logement indispensable à l'entreprise agricole, y compris le logement destiné à la génération qui prend sa retraite.</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w:t>
      </w:r>
    </w:p>
    <w:p>
      <w:r>
        <w:rPr>
          <w:b/>
        </w:rPr>
        <w:t>E. 5</w:t>
      </w:r>
    </w:p>
    <w:p>
      <w:r>
        <w:t>Les recourants soutiennent que les constructions litigieuses, situées dans la zone S3 de protection des eaux, ne répondraient pas aux exigences en matière de préservation de la qualité des eaux souterraines. Ils relèvent que la DGE-DIRNA avait d’abord préavisé défavorablement le projet et font valoir que cette autorité aurait excédé son pouvoir d'appréciation en autorisant le projet de stabulation libre "du bout des lèvres", uniquement moyennant le respect de conditions particulièrement restrictives. a) Aux termes de l’art. 19 de la loi fédérale du 24 janvier 1991 sur la protection des eaux (LEaux; RS 814.20),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Sur cette base, l’ordonnance du 28 octobre 1998 sur la protection des eaux (OEaux; RS 814.201) prévoit en son cinquième chapitre des mesures d'organisation du territoire relatives aux eaux, soit en particulier la détermination par les cantons des secteurs de protection des eaux et délimitation des zones et des périmètres de protection des eaux souterraines. Ils doivent ainsi déterminer les secteurs particulièrement menacés (annexe 4, ch. 11 OEaux), les zones de protection des eaux souterraines (annexe 4, ch. 12 OEaux) et les périmètres de protection des eaux souterraines (annexe 4, ch. 13 OEaux). En vertu de l'art. 29 al. 4 OEaux, ils doivent pour ce faire s'appuyer sur les informations hydrogéologiques disponibles et, si ces dernières ne suffisent pas, en procédant aux investigations hydrogéologiques nécessaires. L'annexe 4 ch. 12 OEaux prévoit trois degrés de zones de protection des eaux souterraines: la zone de captage (zone S1), la zone de protection rapprochée (zone S2), la zone de protection éloignée (zone S3), qui assure la protection des aquifères en roches meubles et les aquifères karstiques ou fissurés faiblement hétérogènes (al. 1 let. a). Dans les aquifères karstiques ou fissurés fortement hétérogènes, les zones S h et S m assurent la protection. Selon l'annexe 12 ch. 124 al. 1 OEaux, la zone S3 doit garantir qu'en cas de danger imminent (p. ex. accident impliquant des substances pouvant polluer les eaux), on dispose de suffisamment de temps et d'espace pour prendre les mesures qui s'imposent. L'annexe 4 ch. 221 liste en outre un certain nombre d'installations qui ne sont pas autorisées à l'intérieur de la zone 3. Les constructions à vocation agricole n'en font pas partie, ce qui implique qu'elles sont en principe autorisées en zone S3. Selon l'art. 32 OEaux, dans les secteurs particulièrement menacés (art. 29), une autorisation au sens de l'art. 19, al. 2, LEaux, est requise pour un certain nombre d'installations. Selon l'art. 4 de la loi du 17 septembre 1974 sur la protection des eaux contre la pollution (LPEP; BLV 814.31), le service en charge de la protection des eaux est compétent pour délivrer l'autorisation spéciale prévue par l'art. 19 al. 2 LEaux. b) En l'espèce, il n'est pas contesté par les parties que les constructions litigieuses se trouvent dans la zone S3 et sont subordonnées à une autorisation spéciale au sens de l'art. 19 al. 2 LEaux. Consultée sur un avant-projet, la DGE-DIRNA avait émis un préavis négatif " jusqu'à réception d'un avis hydréologique fondé et d'un projet conforme aux exigences en matière de protection des eaux souterraines "; elle recommandait également de déplacer le projet de construction de la halle d'engraissement, qui comprenait alors la réalisation d'une excavation importante sur tout une partie du bâtiment, en dehors de la zone S3. Le constructeur a par la suite mandaté l'entreprise F.________ SA qui a établi un avis hydréologique du 25 août 2016, puis, sur demande de la DGE-DIRNA, une étude géotechnique préliminaire du 13 octobre 2016 ainsi qu'un deuxième avis hydrogéologique du 22 février 2017. Le constructeur a adapté son projet pour tenir compte du résultat de l'expertise en ce sens que la construction ne nécessite plus aucune excavation et que des matériaux seront amenés sur place et stabilisés. La fosse sera hors-sol par rapport au terrain naturel. Sur la base des avis précités, l'autorité spécialisée – soit la DGE-DIRNA – a subordonné l'octroi de son autorisation au respect de conditions restrictives de nature à assurer la protection des eaux souterraines. Sur la base du rapport hydrogéologique du 25 août 2016, la DGE-DIRNA a notamment exigé des sondages complémentaires pour préciser les aspects géotechniques et de fondation. Le constructeur a finalement privilégié un remblayage de la zone concernée par la stabulation, stabilisé par un mur, afin d'éviter la nécessité d'excaver. En outre, l'implantation de la préfosse et de la fosse à purin au niveau du terrain naturel limitera également les risques hydrogéologiques. Au vu de ces modifications, la DGE-DIRNA a estimé ce projet comme conforme tout en posant des conditions strictes, notamment en exigeant que les travaux soient réalisés sans mise en place de structures géotechniques portant atteinte au sous-sol et qu'ils fassent l'objet d'une surveillance hydrogéologique et géotechnique. Selon les recourants, l'exigence d'imperméabilisation des voies de circulation, accès et places de stationnement à laquelle est subordonnée l'autorisation de la DGE-DIRNA entrerait en conflit avec le but de préservation des surfaces d'assolement et justifierait une implantation différente des projets litigieux. Comme on l'a vu plus haut (cf. supra consid. 3 et 4), compte tenu des différents intérêts en présence, ni l'implantation du projet ni son emprise sur les surfaces d'assolement ne sont critiquables. Pour le surplus, l'exigence posée par la DGE-DIRNA paraît proportionnée et conforme au but de protection des eaux souterraines dès lors que les projets sont situés en zone S3. On peine pour le surplus à suivre les recourants lorsqu'ils voient un abus du pouvoir d'appréciation de l'autorité spécialisée dans la mesure où elle a subordonné son autorisation à des conditions particulièrement restrictives plutôt que le refuser purement et simplement. Les recourants ne critiquent pour le surplus pas la méthodologie ni le contenu du rapport d'expertise hydro-géologique; ils ne produisent en outre aucune preuve qui serait de nature à mettre en doute les conditions auxquelles a été subordonnée la délivrance de l'autorisation spéciale. Les simples allégations des recourants sont insuffisantes à cet égard. Le tribunal ne voit dès lors pas de motif de s'écarter des conclusions de l'expert mandaté par le constructeur, les conditions strictes posées par l'autorité spécialisée pour délivrer son autorisation paraissant proportionnées pour atteindre l'objectif de préservation des eaux souterraines. Ce grief doit donc également être rejeté.</w:t>
      </w:r>
    </w:p>
    <w:p>
      <w:r>
        <w:rPr>
          <w:b/>
        </w:rPr>
        <w:t>E. 6</w:t>
      </w:r>
    </w:p>
    <w:p>
      <w:r>
        <w:t>Les recourants font également grief à la municipalité de ne pas avoir appliqué correctement les dispositions communales en matière de construction. Selon les recourants, la municipalité aurait dû refuser les projets litigieux pour des raisons esthétiques. Ils soutiennent également que des gabarits auraient dû être posés et que la hauteur du silo ne serait pas conforme à la règlementation communale. a) A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Selon l'art. 53 du règlement communal sur le plan général d'affectation (RPGA), adopté par le Conseil général le 19 juin 1991 et approuvé par le Conseil d'Etat le 26 juin 1992, la Municipalité peut prendre toutes les mesures pour éviter l'enlaidissement du territoire communal (al. 1). Comme l'a rappelé le Tribunal fédéral (1C_80/2015 du 22 décembre 2015 consid. 2.4.3), les autorités communales conservent une importante marge d'appréciation pour appliquer les dispositions en matière d'intégration et d'esthétique, y compris s'agissant des constructions autorisées par le droit fédéral à l'intérieur de la zone agricole. Certes, une étable moderne et un silo ne présentent de par leur destination pas un caractère esthétique particulier et chacun préfèrerait sans doute conserver la vue actuelle sur les pentes verdoyantes descendant vers la Broye. Cela étant, comme on l'a déjà relevé plus haut, le paysage, bien que typique de la campagne du plateau suisse, ne présente pas de caractère particulièrement remarquable. La municipalité n'a donc pas excédé le large pouvoir d'appréciation qui doit lui être reconnu en la matière en autorisant les projets litigieux. b) S'agissant des gabarits, l'art. 60 RPGA confère à la municipalité une simple faculté d'en exiger la pose si elle le juge opportun. Les recourants ne peuvent donc tirer aucun argument de cette disposition. c) Les recourants font grief à la municipalité d'avoir excédé son pouvoir d'appréciation en accordant une dérogation à l'art. 47 RGPA limitant la hauteur des bâtiments pour la construction du silo d'une hauteur de 15 m alors que l'étable prévue aura une hauteur maximale au faîte de 12 m. Cette dérogation ne serait justifiée que par le fait que l'exploitant a déjà acquis ce silo d'occasion. Selon l'art. 47 RPGA, les silos sont regroupés avec le bâtiment d'exploitation; leur hauteur doit être inférieure ou égale à celle du faîte du bâtiment. Il n'existe en l'état pas de silo sur le territoire communal. Dans la mesure où cette disposition est manifestement destinée à éviter des constructions enlaidissant le territoire communal, il convient de considérer qu'elle confère une certaine marge d'appréciation à la municipalité, notamment pour accorder des dérogations de minime importance (art. 85 LATC). En l'espèce, comme le relève l'autorité intimée, même s'il est d'une hauteur légèrement supérieure à celle de l'étable, le silo permettra de limiter l'emprise au sol qui serait plus importante si sa hauteur devait être abaissée. Compte tenu de la situation excentrée des constructions prévues et du fait qu’elles se situent en contrebas du village, la municipalité pouvait considérer sans excéder le large pouvoir d'appréciation qui lui est reconnu qu'il se justifiait de déroger à l'art. 47 RPGA s'agissant de la hauteur du silo. Ce grief doit donc être écarté.</w:t>
      </w:r>
    </w:p>
    <w:p>
      <w:r>
        <w:rPr>
          <w:b/>
        </w:rPr>
        <w:t>E. 7</w:t>
      </w:r>
    </w:p>
    <w:p>
      <w:r>
        <w:t>Il résulte de ce qui précède que le recours doit être rejeté et les décisions attaquées confirmées. Les recourants, qui succombent, supporteront les frais de la cause (art. 49 LPA-VD). La municipalité, qui a procédé par l'intermédiaire d'un avocat, et le constructeur, qui était assisté d'un mandataire professionnel, ont droit à une indemnité à titre de dépens, laquelle sera mise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