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AC.2017.0277 vom 13. April 2018</w:t>
      </w:r>
    </w:p>
    <w:p>
      <w:r>
        <w:t>VD Tribunal cantonal, 2018-04-13, FR</w:t>
      </w:r>
    </w:p>
    <w:p>
      <w:r>
        <w:rPr>
          <w:b/>
        </w:rPr>
        <w:t xml:space="preserve">Quelle: </w:t>
      </w:r>
      <w:r>
        <w:t>https://mcp.opencaselaw.ch/entscheid/vd_omni_AC.2017.0277</w:t>
      </w:r>
    </w:p>
    <w:p>
      <w:r>
        <w:t>FR: VD_OMNI AC.2017.0277 du 13 avril 2018</w:t>
      </w:r>
    </w:p>
    <w:p>
      <w:r>
        <w:t>IT: VD_OMNI AC.2017.0277 del 13 aprile 2018</w:t>
      </w:r>
    </w:p>
    <w:p>
      <w:pPr>
        <w:pStyle w:val="Heading2"/>
      </w:pPr>
      <w:r>
        <w:t>Regeste</w:t>
      </w:r>
    </w:p>
    <w:p>
      <w:r>
        <w:t>A.________/Municipalité de Poliez-Pittet, Service du développement territorial, B.________, C.________, D.________, E.________, F.________, G.________, H.________, I.________, J.________, K.________, L.________, M.________, N.________ | Refus de la municipalité de délivrer le permis de construire pour un poulailler de 2'700 poulets, en partie en zone agricole et en partie en zone à bâtir (zone extension village). L'autorisation cantonale spéciale a été délivrée par le SDT pour l'installation en zone agricole. Cette autorisation ne peut plus être contestée par la municipalité qui n'a pas recouru contre cette décision lorsqu'elle l'a reçue avec la synthèse CAMAC (consid.2). Les nuisances olfactives et sonores du poulailler doivent être appréciées au regard du droit fédéral de la protection de l'environnement, le règlement communal n'ayant plus de portée propre sur ce point (consid.3). Admission du recours et renvoi de la cause à la municipalité pour qu'elle rende une décision motivée, à propos notamment de l'application du règlement communal en zone extension village.</w:t>
      </w:r>
    </w:p>
    <w:p>
      <w:pPr>
        <w:pStyle w:val="Heading2"/>
      </w:pPr>
      <w:r>
        <w:t>Erwägungen</w:t>
      </w:r>
    </w:p>
    <w:p>
      <w:r>
        <w:rPr>
          <w:b/>
        </w:rPr>
        <w:t>E. 1</w:t>
      </w:r>
    </w:p>
    <w:p>
      <w:r>
        <w:t>La voie du recours de droit administratif, au sens des art. 92 ss de la loi du 28 octobre 2008 sur la procédure administrative (LPA-VD; RSV 173.36), est ouverte contre une décision d'une municipalité refusant de délivrer un permis de construire, dans la procédure régie par les art. 103 ss de la loi du</w:t>
      </w:r>
    </w:p>
    <w:p>
      <w:r>
        <w:rPr>
          <w:b/>
        </w:rPr>
        <w:t>E. 4</w:t>
      </w:r>
    </w:p>
    <w:p>
      <w:r>
        <w:t>Pour le choix de l'emplacement d'une construction agricole, le droit fédéral n'exige pas l'étude de variantes. Néanmoins, l'art. 34 al. 4 let. b OAT pose comme condition qu'aucun intérêt prépondérant ne s'oppose à l'implantation de la construction ou de l'installation à l'endroit prévu. Vu l'important intérêt public à éviter la dispersion des constructions, les bâtiments et installations doivent être regroupés autant que possible (principe de concentration – ATF 141 II 50 consid. 2.5; TF 1C_221/2016 du 10 juillet 2017, consid. 5.1.1). Dans ce contexte, l'art. 83 du règlement d'application de la LATC du 19 septembre 1986 (RLATC; RSV 700.11.1) prévoit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(al. 3). Le recourant a tenu compte de ces exigences en prévoyant, pour le poulailler, une implantation à proximité directe des bâtiments agricoles existants. Dans sa réponse, le SDT rappelle l'importance du principe de concentration et considère que les intérêts majeurs de l'aménagement du territoire s'opposent à une implantation plus éloignée du village. La décision attaquée ne traite pas cette question. Cela étant, le recourant propose tout de même une adaptation de son projet: si, à cause de l'art. 2.2 RCAT, les installations du poulailler n'étaient pas conformes à l'affectation de la zone extension village, il " pourrait modifier son projet d'une part en utilisant les trois emplacements dits de réserve sis au nord de la parcelle à la place des emplacements 1a, 1b et 1c, et d'autre part en modifiant l'implantation du poulailler 3a qui serait tournée de 180 degrés et resterait alors comprise dans la zone agricole; ainsi tout le projet prendrait place alors uniquement hors zone à bâtir et la réglementation de la zone extension village ne serait plus touchée " (p. 6 du recours). Cette adaptation n'a pas été examinée par la municipalité. Il y a lieu de rappeler que le droit cantonal permet à la municipalité, lorsqu'elle délivre un permis de construire, d'imposer au constructeur des modifications de minime importance (art. 117 LATC), qui portent sur des points de détail ou secondaires et, notamment, qui peuvent aller dans le sens des griefs des opposants – ce qui est alors propre à justifier l'absence de mise à l'enquête complémentaire.</w:t>
      </w:r>
    </w:p>
    <w:p>
      <w:r>
        <w:rPr>
          <w:b/>
        </w:rPr>
        <w:t>E. 5</w:t>
      </w:r>
    </w:p>
    <w:p>
      <w:r>
        <w:t>Le premier grief du recourant porte sur la motivation de la décision attaquée, qu'il qualifie d'insuffisante. La municipalité admet, dans sa réponse, que sa décision du 20 juin 2017 est lacunaire. Elle viole en effet clairement l'art. 115 al. 1 LATC qui prévoit qu'une décision refusant un permis de construire doit contenir une " référence aux dispositions légales et réglementaires invoquées ". Elle viole également, de manière manifeste, la règle de l'art. 42 let. c LPA-VD, applicable dans toutes les procédures administratives, qui exige que la décision contienne " les faits, les règles juridiques et les motifs sur lesquels elle s'appuie". La violation de ces règles – qui équivaut à une violation du droit être entendu (art. 29 al. 2 Cst.) – peut selon la jurisprudence être réparée devant l'autorité de recours, à condition que cette dernière dispose du même pouvoir d'examen que l'autorité inférieure et pour autant qu'il n'en résulte aucun préjudice pour la partie lésée. Dans certaines circonstances, il est admis que l'autorité puisse donner connaissance de ses motifs dans le mémoire de réponse, ce qui permettra ensuite à l'administré de compléter ses moyens (ATF 135 I 279 consid. 2.6.1). La municipalité se prévaut en l'occurrence de cette jurisprudence. Comme cela ressort des considérants ci-dessus, la municipalité ne s'est pas prononcée de manière complète et correcte, dans ses écritures au tribunal, sur tous les éléments pertinents et décisifs, singulièrement à propos de la protection contre les nuisances olfactives. On ne parvient pas non plus à discerner si, dans l'interprétation de l'art. 2.2 RCAT, la municipalité considère que les constructions et installations agricoles n'ont pas leur place dans la zone extension village; on ignore si, dans les différents secteurs de cette zone, une telle pratique est appliquée. Par ailleurs, la municipalité soutient dans ses écritures que le site est particulièrement sensible à cause du cimetière, qu'il faudrait tenir compte de la zone agricole protégée sur laquelle le projet est en partie implanté, que le stationnement de véhicules lourds – en l'occurrence quelques jours par année, pendant une ou deux heures – poserait problème, notamment parce qu'il n'y aurait pas de place de stationnement sur un revêtement dur et imperméable. Sur la plupart de ces questions, la municipalité semble faire valoir que la situation n'est pas clarifiée, ou qu'il n'est pas démontré que les prescriptions topiques seraient respectées. En d'autres termes, ses arguments ne sont pas présentés, dans les deux mémoires adressés au Tribunal cantonal, comme ils devraient l'être dans une décision motivée conformément à l'art. 42 let. c LPA-VD. Dans la présente affaire, où les services cantonaux ont présenté une argumentation complète à l'appui des autorisations spéciales, en confirmant devant l'autorité de recours le caractère admissible du projet nonobstant le refus du permis de construire, on ne saurait admettre que la municipalité rende une décision non motivée puis présente quelques arguments, sans traiter tous les points décisifs, en attendant du tribunal qu'il instruise l'affaire et complète la prise de position municipale, y compris sur des questions relevant de l'interprétation du droit communal (art. 2.2. RCAT, esthétique et intégration, etc.). Il faut, sur ces divers points, que la municipalité statue par une décision motivée, où notamment elle se prononce clairement dans les domaines relevant de son autonomie, et où elle examine la proposition d'adaptation du projet présentée par le recourant (utilisation des emplacements de réserve). Dès lors, il y a lieu d'admettre le recours, d'annuler la décision attaquée et de renvoyer la cause à la municipalité pour nouvelle décision (cf. art. 90 LPA-VD). Il convient de préciser que, dans sa nouvelle décision, la municipalité ne pourra pas remettre en cause l'autorisation cantonale spéciale pour constructions agricoles en zone agricole, notamment en tant que cette autorisation admet la conformité de l'installation d'élevage aux prescriptions du droit fédéral de la protection de l'environnement. L'autorisation spéciale du SDT, communiquée par la CAMAC le 13 juillet 2017 (dans sa dernière version), est toujours valable, n'ayant pas été attaquée par la municipalité par la voie du recours de droit administratif (cf. supra , consid. 2). Il reste donc en définitive à examiner si l'installation d'élevage peut être réalisée partiellement en zone extension village ou, le cas échéant, si les trois emplacements de réserve en zone agricole doivent être utilisés (question sur laquelle le SDT devrait alors être appelé à se prononcer expressément), avec éventuellement d'autres adaptations du projet. Cette nouvelle décision devra intervenir dans le délai de quarante jours fixé à l'art. 114 al. 1 LATC, les autorisations cantonales spéciales étant déjà au dossier (cf. art. 114 al. 3 LATC). Le recourant aura la possibilité de demander au Département du territoire et de l'environnement d'intervenir si ce délai de quarante jours est échu sans que la municipalité n'ait rendu sa nouvelle décision (cf. art. 114 al. 4 LATC).</w:t>
      </w:r>
    </w:p>
    <w:p>
      <w:r>
        <w:rPr>
          <w:b/>
        </w:rPr>
        <w:t>E. 6</w:t>
      </w:r>
    </w:p>
    <w:p>
      <w:r>
        <w:t>Comme les opposants ont conclu au rejet du recours, ils succombent et ils sont dès lors tenus de payer l'émolument judiciaire (art. 49 al. 1 LPA-VD). Il n'y a pas lieu de mettre des frais à la charge de la commune, la municipalité agissant en l'espèce comme une autorité chargée par le droit cantonal de statuer en application des art. 103 ss LATC. Le recourant, qui n'a pas consulté un avocat mais qui est représenté par son assurance de protection juridique,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