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AC.2017.0220 vom 18. Juli 2018</w:t>
      </w:r>
    </w:p>
    <w:p>
      <w:r>
        <w:t>VD Tribunal cantonal, 2018-07-18, FR</w:t>
      </w:r>
    </w:p>
    <w:p>
      <w:r>
        <w:rPr>
          <w:b/>
        </w:rPr>
        <w:t xml:space="preserve">Quelle: </w:t>
      </w:r>
      <w:r>
        <w:t>https://mcp.opencaselaw.ch/entscheid/vd_omni_AC.2017.0220</w:t>
      </w:r>
    </w:p>
    <w:p>
      <w:r>
        <w:t>FR: VD_OMNI AC.2017.0220 du 18 juillet 2018</w:t>
      </w:r>
    </w:p>
    <w:p>
      <w:r>
        <w:t>IT: VD_OMNI AC.2017.0220 del 18 luglio 2018</w:t>
      </w:r>
    </w:p>
    <w:p>
      <w:pPr>
        <w:pStyle w:val="Heading2"/>
      </w:pPr>
      <w:r>
        <w:t>Regeste</w:t>
      </w:r>
    </w:p>
    <w:p>
      <w:r>
        <w:t>A.________ et B.________ /Municipalité de Lausanne | Recours contre un ordre de remise en état concernant un couvert auquel une fermeture a été ajoutée. La décision attaquée n'est pas critiquable en tant qu'elle retient que la fermeture d'un tel couvert crée un espace habitable supplémentaire, modifiant l'affectation de celui-ci.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Les recourants ont sollicité la tenue d'une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p. 270; 137 IV 33 consid. 9.2 p. 48; 136 I 265 consid. 3.2 p. 272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140 I 285 consid. 6.3.1 p. 299; 136 I 229 consid. 5.3 p. 236; 134 I 140 consid. 5.3 p. 148; 130 II 425 consid. 2.1 p. 429 et les références citées). La procédure administrative est en principe écrite (art. 27 al. 1 LPA-VD). Toutefois, lorsque les besoins de l'instruction l'exigent, le Tribunal peut tenir une audience (art. 27 al. 2 LPA-VD) et recourir à une inspection locale (art. 29 al. 1 let. b LPA-VD). b) En l’espèce, les éléments figurant au dossier, notamment les plans et les photographies du couvert ou véranda litigieuse, permettent au Tribunal de se faire une idée complète et précise des faits pertinents et de la configuration des lieux. Ainsi, les éléments de fait déterminants ressortent du dossier. Dès lors, par appréciation anticipée des preuves, le Tribunal s’estime en mesure de statuer en connaissance de cause et renoncera à une vision locale, sans qu’il n’en résulte une violation du droit des parties d’être entendues (cf. dans le même sens, AC.2017.0190 du 3 janvier 2018 consid. 2 et les références).</w:t>
      </w:r>
    </w:p>
    <w:p>
      <w:r>
        <w:rPr>
          <w:b/>
        </w:rPr>
        <w:t>E. 3</w:t>
      </w:r>
    </w:p>
    <w:p>
      <w:r>
        <w:t>Les recourants contestent le caractère non réglementaire de leur couvert fermé. Ils contestent son caractère habitable, la fermeture ajoutée n'ayant pour seule fonction que de protéger leurs plantes en hiver. a) La Municipalité se fonde sur l'art. 39 du règlement du 19 septembre 1986 sur l'aménagement du territoire et les constructions  (RLATC; RSV 700.11.1) et sur l'art. 122 du règlement du 26 juin 2006 du Plan général d'affectation (RPGA), applicable à titre supplétif. L'art.</w:t>
      </w:r>
    </w:p>
    <w:p>
      <w:r>
        <w:rPr>
          <w:b/>
        </w:rPr>
        <w:t>E. 5</w:t>
      </w:r>
    </w:p>
    <w:p>
      <w:r>
        <w:t>Vu les considérants qui précèdent, le recours doit être rejeté et la décision attaquée confirmée. Compte tenu de l'issue de la cause, les frais de justice, légèrement réduits en l'absence d'audience, seront mis à la charge des recourants qui succombent (cf. art. 49 al. 1, 91 et 99 LPA-VD). Ces derniers supporteront en outre une indemnité à titre de dépens en faveur de la Commune de Lausanne, qui a procédé par l'intermédiaire d'un mandataire professionnel (cf. art. 55, 91 et 99 LPA-VD). Le délai d'exécution fixé au 30 juin 2017 par la décision entreprise étant aujourd'hui échu, il appartiendra à l'autorité intimée de fixer un nouveau délai d'exécution.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