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AC.2017.0190 vom 3. Januar 2018</w:t>
      </w:r>
    </w:p>
    <w:p>
      <w:r>
        <w:t>VD Tribunal cantonal, 2018-01-03, FR</w:t>
      </w:r>
    </w:p>
    <w:p>
      <w:r>
        <w:rPr>
          <w:b/>
        </w:rPr>
        <w:t xml:space="preserve">Quelle: </w:t>
      </w:r>
      <w:r>
        <w:t>https://mcp.opencaselaw.ch/entscheid/vd_omni_AC.2017.0190</w:t>
      </w:r>
    </w:p>
    <w:p>
      <w:r>
        <w:t>FR: VD_OMNI AC.2017.0190 du 3 janvier 2018</w:t>
      </w:r>
    </w:p>
    <w:p>
      <w:r>
        <w:t>IT: VD_OMNI AC.2017.0190 del 3 gennaio 2018</w:t>
      </w:r>
    </w:p>
    <w:p>
      <w:pPr>
        <w:pStyle w:val="Heading2"/>
      </w:pPr>
      <w:r>
        <w:t>Regeste</w:t>
      </w:r>
    </w:p>
    <w:p>
      <w:r>
        <w:t>A.________/Municipalité de Pully | Confirmation du refus d'autoriser la réalisation d'un garage souterrain d’environ 50m2 pour un véhicule, implanté dans les espaces réglementaires, avec accès direct sur la voie publique. Quand bien même l'accès du recourant à son immeuble serait insuffisant, la construction projetée ne peut se faire qu’en conformité avec les règles applicables en matière de police des constructions. Or, celle-ci s’ouvre directement sur la voie publique et s’implante nettement en deçà des limites fixées par la LRou pour les constructions souterraines, puisque sa façade sud est implantée à quelques centimètres seulement du bord de la chaussée. Elle n'est autorisable que moyennant une dérogation. Faute de plan fixant la limite des constructions au sens de l'art. 36 LRou dans la réglementation communale, de limite des constructions spéciale ou disposition réglementaire dérogatoire autorisant expressément certains aménagements dans l'espace grevé par la limite des constructions au sens des art. 36 et 37 LRou, il n’y a pas de place ici pour l’octroi par la municipalité d’une dérogation autorisant l'implantation d’un bâtiment à une distance inférieure à celles prescrites par la LRou et le RLRou. Au surplus, il ne ressort pas du dossier, en particulier pas des observations de la municipalité, que celle-ci persistera à l'avenir dans une pratique antérieure, résultant d’une interprétation erronée des art. 37 LRou et 7 RLRou, dont un autre propriétaire pourrait éventuellement avoir bénéficié.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Le recourant requiert la tenue d'une inspection locale. La procédure est en principe écrite (art. 27 al. 1 LPA-VD). Toutefois, lorsque les besoins de l'instruction l'exigent, le tribunal peut tenir une audience (art. 27 al. 2 LPA-VD) et recourir à une inspection locale (art. 29 al. 1 let. b LPA-VD). b) En l’espèce cependant, les éléments figurant au dossier, notamment les plans de situation, des façades et les coupes, permettent au Tribunal de se faire une idée complète et précise des faits pertinents et de la configuration des lieux. Ainsi, les éléments de fait déterminants ressortent du dossier. Dès lors, par appréciation anticipée des preuves, le Tribunal s’estime en mesure de statuer en connaissance de cause et renoncera en conséquence à une vision locale, sans qu’il n’en résulte une violation du droit des parties d’être entendues (cf. dans le même sens, arrêts AC.2016.0189 du 25 septembre 2017; AC.2014.0416 du 23 février 2016; AC.2012.0186 du 30 juillet 2013; AC.2010.0284 du 11 juillet 2012).</w:t>
      </w:r>
    </w:p>
    <w:p>
      <w:r>
        <w:rPr>
          <w:b/>
        </w:rPr>
        <w:t>E. 3</w:t>
      </w:r>
    </w:p>
    <w:p>
      <w:r>
        <w:t>Les frais de l'ouvrage incombent au propriétaire intéressé.</w:t>
      </w:r>
    </w:p>
    <w:p>
      <w:r>
        <w:rPr>
          <w:b/>
        </w:rPr>
        <w:t>E. 4</w:t>
      </w:r>
    </w:p>
    <w:p>
      <w:r>
        <w:t>En dérogation à l'article 5 de la présente loi, les catégories de routes mentionnées à l'alinéa premier sont déterminées selon les règles applicables avant l'entrée en vigueur de la loi du 7 février 2012 modifiant la présente loi et mises en œuvre dans le règlement sur la classification des routes cantonales.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les garages s'ouvrant sur la voie publique." Le règlement d’application de la loi sur les routes du 19 janvier 1994 (RLRou; RSV 725.01.1) prévoit quant à lui ce qui suit : "Art. 6 Limite des constructions (art. 36 LR) 1 Pour les routes cantonales, la limite de localité déterminant les distances minima de l'article 36 de la loi est définie conformément à l'article 3, alinéa 4, de celle-ci. 2 Pour les routes communales, la limite de localité est fixée en fonction des zones constructibles définies par les plans d'affectation légalisés. Art. 7 (art. 37) 1 Les constructions s'ouvrant directement sur la route, telles que garages, dépôts, etc., seront implantées à cinq mètres au moins du bord de la chaussée ou du trottoir." De la jurisprudence applicable aux art. 36 et 37 LRou, il ressort que la réglementation communale peut prévoir une distance inférieure à celle prévue par les art. 36 et 37 LRou, soit en instituant une limite de construction spéciale, soit par le biais d'une disposition réglementaire obligatoire autorisant expressément certains aménagements dans l'espace grevé par la limite des constructions. Les distances inférieures à celles de la LRou peuvent ainsi non seulement être fixées par des plans d'alignement, mais aussi par des dispositions réglementaires, pour autant que les exigences de sécurité requises par la loi sur les routes soient respectées (arrêts AC.2015.0305 du 26 octobre 2016 consid. 4b; AC.2015.0232 du 26 septembre 2016 consid. 4b; AC.2013.0041 du 12 juin 2014 consid. 6b; AC.2013.0338 du 13 février 2014 consid. 1a ; AC.2013.0198 du 5 février 2014 consid. 5c). On relève en outre que, d ans son arrêt AC.2009.0094 du 19 mai 2010, confirmé par arrêt du Tribunal fédéral 1C_307/2010 du 7 décembre 2010, le Tribunal de céans a par ailleurs admis qu'une commune puisse fixer, dans la réglementation applicable aux plans d'affectation, sur la base de l'art. 47 al. 2 ch. 1 LATC, des règles sur les distances à respecter par rapport au domaine public plus restrictives ou plus sévères que celles prévues par la LRou (cf. arrêt AC.2015.0305 précité consid. 4b et réf.). Un plan fixant la limite des constructions n'est pas applicable aux constructions souterraines et aux dépendances. Ce n'est qu'en présence d'un plan fixant une limite spécifique pour ce type d'ouvrage (le cas échéant sous la forme d'une limite secondaire dans le plan fixant la limite des autres constructions [art. 9 al. 1 LRou]) que la règle subsidiaire de l'art. 37 LRou s'efface (cf. arrêts AC.2015.0305 précité consid. 4b; AC.2008.0200 du 19 mars 2009 consid. 4; réf. citées). b) Il importe tout d’abord de déterminer en l’occurrence la limite de construction, conformément à l’art. 36 LRou. Le chemin ******** qui borde la parcelle du recourant est, à teneur du plan de classification communale des routes, une route communale de 2 ème classe (figurant en vert sur ledit plan). Vu l’art. 36 al. 1 let. c LRou, il en résulte que tout bâtiment ou tout annexe de bâtiment doit s’implanter à 7 mètres au moins, à l'intérieur de la localité, et ce depuis l’axe de la chaussée. La configuration du chemin ******** à cet endroit est cependant particulière, en ce sens qu’à la hauteur de la parcelle n°********, cette artère se divise en deux axes unidirectionnels, séparés par un ilôt central herbeux, sur une distance d’environ 120 mètres. A la hauteur de la parcelle du recourant, ces deux axes ont chacun une largeur approximative de 4 mètres. En ce même endroit, l’ilôt central est large de 5 mètres; il est même plus large à l’Ouest. Or, cette situation particulière n’est sans doute pas expressément visée dans les exemples cités par les Directives pour l’établissement des plans fixant les limites de construction, éditées en avril 2015 par le Département des infrastructures et des ressources humaines (DIRH ; source : (https://www.vd.ch/fileadmin/user_upload/organisation/dinf/sr/fichiers_pdf/Documentation/Documents_techniques_et_normes/Documents_techniques/3_Limites_des_constructions/Directives_sur_les_limites_de_construction_avril_2015.pdf). En revanche, cet exemple est repris par Interlis, mécanisme d'échange de données pour systèmes d'information du territoire, dont la version 2.3 est officiellement devenue norme suisse (SN612031) en juin 2006 (cf. https://www.interlis.ch/general/historique_f.php). Ainsi, dans le cas d'une route à plusieurs voies, la totalité de la route est prise en considération pour l'établissement de l'axe si la berme centrale n'est pas herbeuse (source: https://www.interlis.ch/DM/mo/axes.php). En l’occurrence, non seulement la berme centrale est herbeuse, mais par surcroît, sa largeur à cet endroit est d’environ 5 mètres. Il en résulte que l’axe de la chaussée se situe au milieu de la voie unidirectionnelle (sens Est/Ouest) dont le bord de la chaussée jouxte la parcelle du recourant, comme mentionné du reste sur le plan de situation qui accompagnait la demande de permis du recourant. Or, la façade Sud de la construction projetée est implantée à un peu plus de 2 mètres seulement de cet axe. D'ailleurs, si l'on considère que l'axe de la route se trouve au milieu de l'ilôt herbeux, la distance de 7 mètres prévue par l'art. 36 al. 1 let. c LRou n'est pas respectée à l'angle sud-est du garage projeté. En outre, le garage litigieux constitue une construction souterraine. En vertu de l’art. 37 al. 1 LRou, en l’absence d'un plan fixant une limite spécifique pour ce type d'ouvrage, cette construction peut être autorisée à condition que son implantation respecte une distance minimale de 3 mètres du bord de la chaussée. A cela s’ajoute que l’art. 7 RLRou (disposition fondée sur l'art. 37 al. 3 LRou) exige que les constructions s'ouvrant directement sur la route, telles que les garages, soient implantées à cinq mètres au moins du bord de la chaussée ou du trottoir (cf. sur ce point arrêts AC.2014.0417 du 3 novembre 2015 consid. 9b/bb; AC.2012.0064 du 15 novembre 2012 consid. 4b). Or, la construction projetée, qui s’ouvre directement sur le chemin ********, s’implante nettement en deçà de ces limites, puisque sa façade sud est implantée à quelques centimètres seulement du bord de la chaussée. Les distances fixées par la LRou et le RLRou ne sont dès lors pas respectées. Ainsi, c’est au bénéfice de plusieurs dérogations que le recourant pourrait être autorisé à réaliser son projet. c) L’art. 85 LATC permet à la municipalité, dans la mesure où le règlement communal le prévoit, d’accorder des dérogations aux plans et à la réglementation y afférente,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Le RCATC, prévoit, pour sa part, à son art. 34, que la municipalité peut accorder des dérogations aux dispositions réglementaires communales dans les limites des articles 85 et 85a LATC. Confrontée à l'octroi ou au refus d'une dérogation, l’autorité de recours devra se limiter à sanctionner un abus ou un excès dans le pouvoir d'appréciation de la municipalité (arrêt TF 1C_86/2008 du 10 juillet 2008 consid. 5.2; arrêts AC.2011.0198 du 16 mai 2012; AC.2002.0229 du 12 mai 2003; AC.1996.0045 du 16 octobre 1996, in RDAF 1997 I 232). On relèvera cependant que l'art. 85 LATC dans sa formulation actuelle, entré en vigueur le 23 janvier 1996, a pour objectif de permettre aux municipalités de déroger à leurs prescriptions réglementaires, en dehors des cas de minime importance, même si elles ne disposent pas de prescription spécifique et précise pour chaque objet (Bulletin du Grand Conseil novembre 1995, p. 2712), soit notamment en matière de distance aux limites. Dans ce domaine, l'art. 36 LRou fixe précisément des distances particulières en présence du domaine public. Il s'ensuit que l'art. 34 RCATC pris sur la base de l'art. 85 LATC ne saurait permettre de déroger au droit cantonal spécial, en dehors du cadre posé par l'art. 36 al. 1 LRou lui-même (élaboration d'un plan d'alignement) et par la jurisprudence (disposition dérogatoire expresse pour " certains aménagements "). S'il n'est donc pas interdit à l'autorité intimée de déroger à l'art. 36 al. 1 LRou, elle doit cependant le faire au moyen des instruments prévus à cet effet. Admettre le contraire reviendrait, dans le cas d'espèce, à permettre à l'autorité intimée de faire primer son règlement sur l'art. 36 LRou, pour autoriser l'implantation de bâtiments à une distance inférieure à celle de la LRou par le biais de dérogations ponctuelles, sans recourir à un plan d'alignement ou à une disposition réglementaire expresse dans le cas d'aménagements (dans ce sens, arrêt AC.2015.0232, déjà cité). Comme on l’a vu, il n'existe dans la réglementation communale aucun plan fixant la limite des constructions au sens de l'art. 36 LRou, de même qu'il n'existe aucune limite des constructions spéciale, ni aucune disposition réglementaire dérogatoire autorisant expressément certains aménagements dans l'espace grevé par la limite des constructions au sens des art. 36 et 37 LRou. Par conséquent, il n’y a pas de place ici pour l’octroi par l’autorité intimée d’une dérogation autorisant l'implantation d’un bâtiment à une distance inférieure à celles prescrites par la LRou et le RLRou. d) Le recourant évoque enfin la pratique de l’autorité intimée dans laquelle il voit une inégalité de traitement. On rappelle qu’i 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Une pratique illégale d'une autorité peut, le cas échéant, être invoquée par un administré pour obtenir que cette pratique soit également appliquée à sa situation.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(ATF 132 II 485 consid. 8.6 p. 510; 127 I 1 consid. 3a p. 2; 126 V 390 consid. 6a p. 392 et les arrêts cités) , et qu'aucun intérêt public ou privé prépondérant n'impose de donner la préférence au respect de la légalité (ATF 139 II 49 consid. 7.1 ; 123 II 248 consid. 3c p. 254; 115 Ia 81 consid. 2 p. 83 et les références ). Si l'autorité ne s'exprime pas sur ses intentions futures, il y a lieu de présumer qu'elle se conformera à l’avenir au jugement que le tribunal aura rendu (cf. ATF 136 I 65 consid. 5.6 p. 78; 115 Ia 81 consid. 2 p. 83 et les références citées). Cela étant, une importance plus grande doit être accordée au principe de la légalité dans certains domaines du droit; il en va ainsi en matière d'aménagement du territoire, en particulier lorsque des intérêts dignes de protection des voisins sont en cause. Dans ce cadre, il y a lieu de prendre en considération la situation spécifique dans laquelle se trouve l'autorité communale lorsqu'elle applique les normes d'un plan d'affectation. Si elle estime, plusieurs années après l'entrée en vigueur d'un plan d'affectation, que certaines dispositions ne sont plus appropriées à cause de l'évolution des circonstances, elle peut - ou doit, le cas échéant - engager une procédure de révision de ce plan, conformément à la règle de l'art. 21 al. 2 LAT (cf. ATF 132 II 408 consid. 4.2). Elle ne doit donc pas a priori décider d'adopter une pratique contraire à la réglementation car il lui incombe d'abord de prendre l'initiative d'une révision du plan; ce n'est qu'en cas d'échec de cette procédure de révision que la possibilité d'une pratique contraire au plan, pour des motifs d'égalité, devrait être envisagée (arrêt 1C_482/2010 du 14 avril 2011 consid. 5.1). En l’occurrence, le recourant cite plusieurs exemples, avec des photographies à l’appui, dans lesquels l’autorité intimée aurait octroyé des dérogations à l’implantation de garages souterrains ou à l’aménagement de places de stationnement dans l'espace grevé par la limite des constructions au sens des art. 36 et 37 LRou. Ainsi, l’implantation d’un garage souterrain pour plusieurs véhicules s’ouvrant directement sur la route pourrait, si l'on en croit le recourant, avoir été autorisée à une distance inférieure à 5 mètres du bord de la chaussée sur la parcelle n°********. Les autres exemples dont le recourant se prévaut sont en revanche moins révélateurs; soit, dans certains cas, la distance des art. 36 et 37 LRou paraît respectée; soit, dans d’autres cas, les bâtiments pourraient avoir été érigés avant l’entrée en vigueur de la LRou et du RLRou. Quoi qu’il en soit, à supposer l’existence d’une pratique antérieure, résultant d’une interprétation erronée des art. 37 LRou et 7 RLRou, comme ce fut éventuellement le cas sur la parcelle n°********, outre le fait qu’il pourrait s’agir là d’un cas isolé, il ne ressort pas du dossier, en particulier pas des observations de la commune, que celle-ci persistera à l'avenir dans cette pratique. Enfin, un motif important d’intérêt public, à savoir la sécurité des usagers du ********, s’opposerait de toute façon au maintien en la présente espèce d’un traitement illégal (v. sur ce point, Pierre Moor/Alexandre Flückiger/Vincent Martenet, Droit administratif, vol. I, 3 ème éd., Berne 2012, ch. 4.1.1.4, p. 631).</w:t>
      </w:r>
    </w:p>
    <w:p>
      <w:r>
        <w:rPr>
          <w:b/>
        </w:rPr>
        <w:t>E. 5</w:t>
      </w:r>
    </w:p>
    <w:p>
      <w:r>
        <w:t>Il suit de ce qui précède que le recours ne peut qu’être rejeté et la décision attaquée, confirmée. Vu l’issue du recours, le recourant, qui succombe, supportera les frais de justice (art. 49 al. 1, 91 et 99 LPA-VD). Des dépens seront en outre alloués à la Commune de Pully, dont la Municipalité obtient gain de cause avec l’assistance d’un conseil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