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AC.2017.0169 vom 29. August 2017</w:t>
      </w:r>
    </w:p>
    <w:p>
      <w:r>
        <w:t>VD Tribunal cantonal, 2017-08-29, FR</w:t>
      </w:r>
    </w:p>
    <w:p>
      <w:r>
        <w:rPr>
          <w:b/>
        </w:rPr>
        <w:t xml:space="preserve">Quelle: </w:t>
      </w:r>
      <w:r>
        <w:t>https://mcp.opencaselaw.ch/entscheid/vd_omni_AC.2017.0169</w:t>
      </w:r>
    </w:p>
    <w:p>
      <w:r>
        <w:t>FR: VD_OMNI AC.2017.0169 du 29 août 2017</w:t>
      </w:r>
    </w:p>
    <w:p>
      <w:r>
        <w:t>IT: VD_OMNI AC.2017.0169 del 29 agosto 2017</w:t>
      </w:r>
    </w:p>
    <w:p>
      <w:pPr>
        <w:pStyle w:val="Heading2"/>
      </w:pPr>
      <w:r>
        <w:t>Regeste</w:t>
      </w:r>
    </w:p>
    <w:p>
      <w:r>
        <w:t>A.________/Municipalité de Vevey, B.________, C.________, D.________ | Un bureau d'architecte n'a pas la qualité pour recourir contre un refus de permis de construire.</w:t>
      </w:r>
    </w:p>
    <w:p>
      <w:pPr>
        <w:pStyle w:val="Heading2"/>
      </w:pPr>
      <w:r>
        <w:t>Erwägungen</w:t>
      </w:r>
    </w:p>
    <w:p>
      <w:r>
        <w:rPr>
          <w:b/>
        </w:rPr>
        <w:t>E. 1</w:t>
      </w:r>
    </w:p>
    <w:p>
      <w:r>
        <w:t>Il convient en premier lieu d'examiner la question de la qualité pour recourir A.________ 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2C_816/2012 du 6 mars 2013 consid. 1.2).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2C_869/2012 du 12 février 2013 consid. 5.2). b) En général, la jurisprudence dénie la qualité pour agir au tiers qui dépose un pourvoi dans le but de résoudre des difficultés contractuelles. Considérant que ce serait élargir à l'excès la qualité pour recourir que de l'accorder à tous ceux (architecte, géomètre, ingénieur, etc.) qui ont participé à l'élaboration du projet ou pouvant espérer être mandatés ultérieurement pour sa réalisation, le Tribunal administratif (auquel a succédé la CDAP) a ainsi notamment dénié la qualité pour recourir d'un architecte agissant en son propre nom en vue d'obtenir un mandat contre un refus de permis de construire (cf. AC.2000.0124 du 9 novembre 2000 consid. 3; AC.2000.0163 du 6 novembre 2000 consid. 2c). Dans le même sens, il a également estimé que ne disposait pas d’un intérêt digne de protection l’entreprise souhaitant réaliser un mandat de pose d’une bâche publicitaire qui recourait contre le refus d’autoriser la pose de cette bâche (cf. GE.2006.0110 du 7 décembre 2006 consid. 1d/bb). c) En l'espèce, le recours contre le refus du permis de construire n'a pas été déposé par les destinataires de la décision, soit les copropriétaires des parcelles concernées et le promettant acquéreur. Il s'agit d'un recours déposé par un bureau d'architecte agissant en son propre nom en vue d'obtenir un mandat contre un refus de permis de construire. Ainsi que cela ressort de la jurisprudence précitée, la qualité pour agir ne peut pas être reconnue dans cette hypothèse dès lors que le seul intérêt dont la recourante peut se prévaloir est lié à la conclusion d'un contrat de droit privé.</w:t>
      </w:r>
    </w:p>
    <w:p>
      <w:r>
        <w:rPr>
          <w:b/>
        </w:rPr>
        <w:t>E. 2</w:t>
      </w:r>
    </w:p>
    <w:p>
      <w:r>
        <w:t>Vu ce qui précède, il n'y a pas lieu d'entrer en matière sur le fond, faute de qualité pour agir. Le recours doit être ainsi déclaré irrecevable aux frais du recourant débouté (art. 55 LPA-VD). La partie intimée n'ayant pas procédé,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