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AC.2017.0137 vom 4. Mai 2018</w:t>
      </w:r>
    </w:p>
    <w:p>
      <w:r>
        <w:t>VD Tribunal cantonal, 2018-05-04, FR</w:t>
      </w:r>
    </w:p>
    <w:p>
      <w:r>
        <w:rPr>
          <w:b/>
        </w:rPr>
        <w:t xml:space="preserve">Quelle: </w:t>
      </w:r>
      <w:r>
        <w:t>https://mcp.opencaselaw.ch/entscheid/vd_omni_AC.2017.0137</w:t>
      </w:r>
    </w:p>
    <w:p>
      <w:r>
        <w:t>FR: VD_OMNI AC.2017.0137 du 4 mai 2018</w:t>
      </w:r>
    </w:p>
    <w:p>
      <w:r>
        <w:t>IT: VD_OMNI AC.2017.0137 del 4 maggio 2018</w:t>
      </w:r>
    </w:p>
    <w:p>
      <w:pPr>
        <w:pStyle w:val="Heading2"/>
      </w:pPr>
      <w:r>
        <w:t>Regeste</w:t>
      </w:r>
    </w:p>
    <w:p>
      <w:r>
        <w:t>A.________/Municipalité de Baulmes, B.________, C.________, D.________, E.________, F.________, G.________, H.________, I.________ | Recours interjeté par le constructeur dont le projet a été refusé par la municipalité. - La surface des balcons, de 2 x 8 m2, ne doit pas être comptée dans la SBPU au sens de la norme ORL à laquelle renvoie le règlement communal; le CUS est ainsi respecté (consid. 1). - Le nombre de places de stationnement est réglementaire (consid. 2). - Les douze places de stationnement peuvent encore être considérées comme un aménagement de peu d'importance si on les compare au bâtiment principal situé en zone d'habitat de moyenne densité (consid. 3). - C'est sans arbitraire que la municipalité a considéré que la surface plane extérieure liée à l'appartement sis dans les combles et lui servant de terrasse, recouvrant une partie des étages inférieurs, et représentant à cet endroit la surface supérieure du bâtiment, remplit les caractéristiques d'un toit plat, prohibé par le règlement communal (consid. 4). Recours rejeté.</w:t>
      </w:r>
    </w:p>
    <w:p>
      <w:pPr>
        <w:pStyle w:val="Heading2"/>
      </w:pPr>
      <w:r>
        <w:t>Erwägungen</w:t>
      </w:r>
    </w:p>
    <w:p>
      <w:r>
        <w:rPr>
          <w:b/>
        </w:rPr>
        <w:t>E. 1</w:t>
      </w:r>
    </w:p>
    <w:p>
      <w:r>
        <w:t>Le recourant soutient que, contrairement à l'avis de la municipalité, il n'y a pas lieu de tenir compte dans le calcul du coefficient d'utilisation du sol (CUS) des surfaces correspondant aux balcons (8 m</w:t>
      </w:r>
    </w:p>
    <w:p>
      <w:r>
        <w:rPr>
          <w:b/>
        </w:rPr>
        <w:t>E. 2</w:t>
      </w:r>
    </w:p>
    <w:p>
      <w:r>
        <w:t>[surface des places de stationnement ]).</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Le recourant conteste enfin l'appréciation de la municipalité, selon laquelle le projet litigieux – de par sa volumétrie et sa forme –  ne s'insérerait pas harmonieusement à l'ensemble bâti existant (art. 10 let. a RCAT) et serait inesthétique au sens des art. 57 et 59 RCAT. Point n'est besoin cependant d'examiner plus avant ce grief, dès lors que le refus du permis de construire doit de toute manière être confirmé sur un point et que l'éventuel nouveau projet que présentera le constructeur pourrait être très différent du présent projet. Il n'est par conséquent pas nécessaire de procéder à une inspection locale ni d'accéder à la requête du recourant tendant à la production de dossiers d'enquête de projets voisins pour comparer  leur volumétrie respective.</w:t>
      </w:r>
    </w:p>
    <w:p>
      <w:r>
        <w:rPr>
          <w:b/>
        </w:rPr>
        <w:t>E. 6</w:t>
      </w:r>
    </w:p>
    <w:p>
      <w:r>
        <w:t>Il résulte de ce qui précède que le recours doit être rejeté et la décision attaquée, confirmée. Succombant, le recourant supporte les frais de justice ainsi que des dépens en faveur de l'autorité intimée, qui a agi avec l'assistance d'un mandataire professionnel. Les opposants, qui ne sont pas assistés d'un avocat, n'ont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