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AC.2017.0108 vom 13. November 2017</w:t>
      </w:r>
    </w:p>
    <w:p>
      <w:r>
        <w:t>VD Tribunal cantonal, 2017-11-13, FR</w:t>
      </w:r>
    </w:p>
    <w:p>
      <w:r>
        <w:rPr>
          <w:b/>
        </w:rPr>
        <w:t xml:space="preserve">Quelle: </w:t>
      </w:r>
      <w:r>
        <w:t>https://mcp.opencaselaw.ch/entscheid/vd_omni_AC.2017.0108</w:t>
      </w:r>
    </w:p>
    <w:p>
      <w:r>
        <w:t>FR: VD_OMNI AC.2017.0108 du 13 novembre 2017</w:t>
      </w:r>
    </w:p>
    <w:p>
      <w:r>
        <w:t>IT: VD_OMNI AC.2017.0108 del 13 novembre 2017</w:t>
      </w:r>
    </w:p>
    <w:p>
      <w:pPr>
        <w:pStyle w:val="Heading2"/>
      </w:pPr>
      <w:r>
        <w:t>Regeste</w:t>
      </w:r>
    </w:p>
    <w:p>
      <w:r>
        <w:t>A.________, B.________, C.________, D.________, E.________, F.________, G.________, H.________/Municipalité de Prilly, I.________, J.________ | Admission du recours de voisins contre une décision autorisant la construction d'un immeuble de 6 logements. Certains balcons, fermés latéralement dans le courant de la façade, constituent des avant-corps qui doivent respecter le périmètre d'implantation du bâtiment projeté; en l'espèce, la distance aux limites réglementaire mesurée depuis ces balcons n'est pas respectée. En outre, l'éclairage apporté par deux lucarnes en toiture ne se limite pas "au strict nécessaire" selon la lettre du règlement communal, les deux pièces destinées à être éclairées bénéficiant déjà d'une source suffisante d'éclairage (porte-fenêtre); la manière dont ces ouvertures sont conçues entraîne du reste une surélévation du mur d'embouchature, qui dépassera les 1 m autorisés. Pas d'effet anticipé positif s'agissant du nouveau règlement commmunal, actuellement à l'étude, qui reprendrait la pratique "nuancée" de la municipalité s'agissant du critère de l'éclairage. Pas d'application du principe de l'égalité dans l'illégalité: il revient à la municipalité qui estime qu'une règle n'est pas ou plus appropriée d'engager une procédure de révision du règlement communal; dans l'intervalle, les constructeurs ne peuvent revendiquer une application d'une disposition réglementaire allant à l'encontre de son texte clair. Les autres griefs soulevés (relatifs au CUS, aux surcombles, à l'esthétique et à l'abattage d'arbres) doivent être écartés.</w:t>
      </w:r>
    </w:p>
    <w:p>
      <w:pPr>
        <w:pStyle w:val="Heading2"/>
      </w:pPr>
      <w:r>
        <w:t>Erwägungen</w:t>
      </w:r>
    </w:p>
    <w:p>
      <w:r>
        <w:rPr>
          <w:b/>
        </w:rPr>
        <w:t>E. 1</w:t>
      </w:r>
    </w:p>
    <w:p>
      <w:r>
        <w:t>En cours de procédure devant la CDAP, les constructeurs ont modifié leur projet à divers égards – soit à la demande de l'autorité intimée (s'agissant des surcombles, cf. observations complémentaires du 11 août 2017), soit à leur propre initiative (s'agissant de la dalle; cf. pv d'audience du 29 août 2017) – et ont transmis à l'autorité intimée des plans de construction mis à jour sur ces aspects. Comme relevé lors de l'audience, la cour de céans se limitera à examiner la conformité au droit du projet initial, tel que mis à l'enquête publique et autorisé par la municipalité. Elle ne saurait en effet se prononcer sur des modifications intervenues postérieurement au prononcé de la décision querellée en l'absence de toute décision rendue préalablement par l'autorité compétente pour délivrer le permis de construire. La seule exception concernera les nouveaux plans comprenant les modifications liées aux surcombles. Il résulte en effet des explications fournies par le mandataire de la commune lors de l'audience que la modification du projet sur ce point a été admise par la municipalité et qu'elle doit être prise en compte. On relèvera au surplus que, dès lors que le recours doit être admis et le permis de construire être annulé pour les motifs développés ci-après, il appartiendra cas échéant aux constructeurs de soumettre une nouvelle demande de permis de construire à la municipalité comprenant le plan modifié des surcombles.</w:t>
      </w:r>
    </w:p>
    <w:p>
      <w:r>
        <w:rPr>
          <w:b/>
        </w:rPr>
        <w:t>E. 2</w:t>
      </w:r>
    </w:p>
    <w:p>
      <w:r>
        <w:t>ne devrait pas être toléré dès lors qu'il n'apporte pas de véritable avantage aux constructeurs, ni gêne au voisinage (cf. dans ce sens TF 1C_657/2012 du 24 avril 2013).  Comme le permis de construire doit être annulé pour d'autres motifs et que les constructeurs devront cas échéant soumettre à la municipalité un projet modifié, cette question souffre de demeurer indécise.</w:t>
      </w:r>
    </w:p>
    <w:p>
      <w:r>
        <w:rPr>
          <w:b/>
        </w:rPr>
        <w:t>E. 3</w:t>
      </w:r>
    </w:p>
    <w:p>
      <w:r>
        <w:t>Les recourants soutiennent que les distances minima aux limites de propriété ne sont pas respectées. Les balcons et le perron d'entrée empièteraient au Sud, à l'angle Nord-Est et au Nord sur l'espace libre de 6 m jusqu'à la limite de parcelle. Les balcons apparaîtraient comme un volume supplémentaire du bâtiment de nature à aggraver les inconvénients pour le voisinage. a) L'art. 62 RPE, qui traite des distances réglementaires, est formulé ainsi: " La distance minimum «d» entre un bâtiment et la limite de la propriété voisine est fonction de sa plus grande dimension en plan «a»: si «a» est inférieur à 12 m.           «d» = 5 m. si «a» est supérieur à 12 m.         «d» = 6 m. Les articles 33, 34 et 35 sont applicables par analogie. " Selon l'art. 34 RPE, lorsque la façade d'un bâtiment se présente obliquement par rapport à la limite de propriété, la distance réglementaire est mesurée à partir du milieu de la façade perpendiculairement à la limite; à l'angle le plus rapproché de la limite, la distance réglementaire peut être diminuée d'un mètre au plus. b) En l'espèce, dès lors que la plus grande façade mesure 16 m, la distance à la limite est au maximum de 6 m, respectivement de 5 m à l'angle le plus rapproché de la limite, situé au sud-est. c) La règlementation sur la distance aux limites tend principalement à préserver un minimum de lumière, d'air et de soleil entre les constructions afin de garantir un aménagement sain et rationnel. Elle a pour but d'éviter notamment que les habitants de biens-fonds contigus aient l'impression que la construction les écrase. Elle vise également à garantir un minimum de tranquillité aux habitants (arrêts AC.2014.0365 du 4 décembre 2015 consid. 3e; AC.2014.0163 du 9 octobre 2015, consid. 7; Bovay, Didisheim, Sulliger, Thonney, Droit Fédéral et vaudois de la construction, 4 ème éd., Bâle 2010, n. 3.1.2.1 ad art. 47 LATC). A la différence des avants-corps, les balcons typiques ne sont pas comptés dans les calculs des distances (cf. Bovay, Didisheim, Sulliger, Thonney, op. cit., n. 3.1.2.4 ad art. 47 LATC).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(arrêts AC.2015.0111 du 17 août 2016 consid. 9a/bb; AC.2014.0365 du 4 décembre 2015 consid. 3f). Leur fermeture latérale aux extrémités ou dans le courant de la façade en fait des avant-corps (arrêts AC.2016.0297 du 20 mars 2017 consid. 4b; AC.2012.0141 du 24 septembre 2013 consid. 8c). Les balcons ne doivent en outre pas être reliés verticalement par un pilier ou par des séparations s'élevant sur toute la hauteur des niveaux habitables (cf. AC.2014.0365 précité consid. 3f; AC 2001.0226 du 28 mai 2002 et AC 2000.0135 du 3 mai 2001). d) Il résulte de la jurisprudence que les perrons peuvent prendre place dans les "espaces de non-bâtir" (arrêts AC.2011.0230 du 4 avril 2012 consid. 2a ; AC.2006.0185 du 19 janvier 2007; AC.2000.0205 du 20 mai 2003; AC.1998.0051 du 7 septembre 1998). Partant c'est à tort que, s'agissant du perron d'entrée, les recourants invoquent le non-respect des règles sur les distances minima aux limites de propriété . Il n'en va pas de même des balcons situés sur la façade Sud. A la lecture des plans, on constate en effet que ces derniers présentent une fermeture latérale dans le courant de la façade qui a pour effet d'augmenter le volume perçu de l'immeuble, qui paraît d'autant plus large. Ces balcons doivent en conséquence être qualifiés d'avant-corps devant respecter le périmètre d'implantation du bâtiment projeté (peu important à cet égard que les séparations vitrées soient destinées à délimiter les logements; cf. pv. d'audience). Or, du côté Sud , la distance aux limites mesurée depuis les balcons précités, telle que prévue par les art. 62 et 34 RPE, n'est pas respectée, même à l'angle le plus rapproché de la limite. Le grief des recourants doit sur ce point dès lors être admis.</w:t>
      </w:r>
    </w:p>
    <w:p>
      <w:r>
        <w:rPr>
          <w:b/>
        </w:rPr>
        <w:t>E. 4</w:t>
      </w:r>
    </w:p>
    <w:p>
      <w:r>
        <w:t>Les recourants invoquent une violation de l'art. 64 RPE relatif au nombre d'étages. Ils soutiennent que la construction litigieuse comprend des espaces supplémentaires sous le faîte du toit qui doivent être considérés comme un étage supplémentaire et non comme des sur-combles, et ce nonobstant le fait que ces espaces ne soient accessibles que depuis les combles. Ils relèvent que les galeries qui sont prévues sont fermées par des parois sur leur partie Nord et présentent toutes les caractéristiques d'un étage supplémentaire (fenêtres de 90x115 cm, portes fenêtres donnant sur des balcons de 2 m 2 ). a) L'art. 64 RPE a la teneur suivante: " Le nombre d'étage est limité à: - 1 rez-de-chaussée - 1 premier étage - 1 étage de combles. Les dispositions ci-après sont applicables aux combles habitables: - La hauteur du mur d'embouchature supportant la sablière ne peut dépasser 1.00 m. - L'éclairage est assuré par des ouvertures, principalement sur les pignons des façades et, accessoirement, dans les pans de la toiture, limitées au strict nécessaire et intégrées dans la construction. - Les sur-combles incorporés (galeries ouvertes) sont autorisés. " b) Après le dépôt du recours, la municipalité a demandé aux constructeurs de modifier le plan des sur-combles de telle manière à le rendre "rigoureusement" conforme à l'art. 64 RPE (cf. déterminations du 11 août 2017). Lors de la vision locale, nouveaux plans à l'appui, les représentants de l'autorité intimée ont ainsi expliqué avoir requis l'ouverture des cloisons prévues montant jusqu'au toit, de sorte qu'il est maintenant bien question de "galeries ouvertes" (cf. pv. du 29 août 2017). Les recourants ont pour leur part maintenu que les sur-combles correspondent à un étage supplémentaire, puisque leur volume ne serait toujours pas incorporé à celui des combles nonobstant la suppression de ces parois. c) Tels que mis à l'enquête, les plans de construction prévoyaient il est vrai des sur-combles comprenant des éléments de cloisonnement, ce qui pouvait faire douter de leur conformité à la disposition réglementaire applicable. Ces parois ayant depuis été supprimées (cf. nouveaux plans produits en cours de procédure), les sur-combles répondent désormais à la définition de "galeries ouvertes" au sens de l'art. 64 RPE, en tant qu'elles ne présentent plus d'espace cloisonné. Quoi qu'en disent les recourants, leur volume s'inscrira au surplus intégralement dans celui des combles et la présence d'un petit balcon, d'une fenêtre et d'une porte fenêtre ne saurait en faire un étage supplémentaire. Enfin, ces sur-combles seront accessibles uniquement depuis les combles, par un escalier. Les griefs formulés, mal fondés, doivent être écartés.</w:t>
      </w:r>
    </w:p>
    <w:p>
      <w:r>
        <w:rPr>
          <w:b/>
        </w:rPr>
        <w:t>E. 5</w:t>
      </w:r>
    </w:p>
    <w:p>
      <w:r>
        <w:t>Les recourants soutiennent que les deux ouvertures prévues en toiture (lucarnes), chacune dans un pan, ne sont pas conformes au RPE, à plusieurs égards. Ils font valoir en particulier que l'éclairage supplémentaire apporté par celles-ci à deux chambres n'apparaît pas "strictement nécessaire" au sens de l'art. 64 RPE régissant les combles habitables, lequel prévoit en particulier que " L'éclairage est assuré par des ouvertures, principalement sur les pignons des façades et, accessoirement, dans les pans de la toiture, limitées au strict nécessaire et intégrées dans la construction. " Ces ouvertures sous forme de lucarnes saillantes seraient principalement destinées à augmenter le volume habitable des deux pièces. L'autorité intimée soutient pour sa part qu'elle applique le critère de l'éclairage avec nuance dans sa pratique. Les recourants rétorquent qu'une telle pratique consacre un excès du pouvoir d'appréciation de la municipalité, confinant à l'arbitraire. a) Selon la jurisprudence, pour que l'espace sous la toiture puisse être qualifié de combles, la hauteur du mur d'embouchature, sur lequel la structure de la toiture prend appui, doit être inférieur à 1 m, sous réserve de dispositions contraires du règlement communal (cf. arrêt AC.2015.0091 du 24 mars 2016 consid. 3; AC.2008.0107 du 2 février 2009 consid. 2a). L'art. 64 RPE reprend cette règle, en relevant que la hauteur du mur d'embouchature supportant la sablière ne peut dépasser 1 m. En principe, un logement réalisé entièrement dans la toiture est de dimensions plus réduites qu'un étage ordinaire délimité par les murs verticaux, s'agissant tant de la surface de plancher utilisable, que du volume. La limitation de la hauteur du mur d'embouchature à 1 m tend à éviter que la construction de véritables murs sous la sablière ne transforme pratiquement en un niveau ordinaire ce qui doit être et rester un étage de combles (arrêts AC.2016.0096 du 17 février 2017 consid. 5c/aa; AC.2013.0151 du 31 décembre 2014 consid. 4a). b) Chacune des ouvertures en toiture mises en cause par les recourants est destinée à éclairer une chambre d'un peu plus de 11 m 2 dans les combles. Compte tenu de leur surface, ces deux pièces bénéficient toutefois déjà d'une source suffisante d'éclairage, vu la présence dans chaque chambre d'une porte-fenêtre (2.15 m x 0.82 m) s'inscrivant en façade pignon sud. Les lucarnes prévues apporteront donc un éclairage (supplémentaire) largement supérieur au "strict nécessaire" imposé par l'art. 64 RPE (qui tend précisément à limiter les ouvertures en toiture; cf. arrêt AC.2014.0151 du 30 juillet 2014 consid. 3, confirmé par l'arrêt du Tribunal fédéral 1C_407/2014 du 8 juin 2015 consid. 4) et ne sauraient à ce titre être admises. A cela s'ajoute que la manière dont ces ouvertures sont conçues entraîne une surélévation du mur d'embouchature, qui dépassera les 1 m autorisés sur une largeur de 2.24 m (soit un tiers de la largeur totale du mur d'embouchature). La solution choisie par les constructeurs apparaît en définitive comme une tentative d'éluder les règles en matière d'habitabilité des combles, en augmentant significativement cette dernière par le biais d'aménagements se révélant par ailleurs contraires à la volonté de limiter au strict minimum les interventions dans les pans de la toiture. Les lucarnes prévues en toiture contreviennent par conséquent au texte clair de l'art. 64 RPE et le grief des recourants à cet égard doit être admis. Dans ces conditions, le tribunal se dispensera d'examiner plus avant les autres arguments développés par les recourants en lien avec ces lucarnes. c) Dès lors que l'autorité intimée relève avoir pour pratique d'appliquer le critère de l'éclairage de l'art. 64 RPE "avec nuance" (cf. déterminations du 17 mai 2017), respectivement souligne que cette pratique sera reprise dans le nouveau règlement communal actuellement à l'étude (cf. pv d'audience), on peut se demander si les constructeurs ne devraient pas être mis au bénéfice de l'égalité dans l'illégalité. aa) On relèvera en premier lieu que les constructeurs ne peuvent pas demander l'application du nouveau règlement communal actuellement à l'étude dès lors que le droit vaudois de la construction ne prévoit pas d’effet anticipé positif (v. arrêt AC.2013.0225 du 29 août 2013 consid. 2a et les arrêts cités). bb) Le principe de la légalité de l'activité administrative (cf. art. 5 Cst.)  prévaut sur celui de l'égalité de traitement (ATF 126 V 390 consid. 6a p. 392). En conséquence, le justiciable ne peut généralement pas se prétendre victime d'une inégalité de traitement lorsque la loi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 cit.). Encore faut-il qu’il n’existe pas d’intérêt public prépondérant au respect de la légalité qui conduise à donner la préférence à celle-ci au détriment de l’égalité de traitement, ni d’ailleurs qu’aucun intérêt privé de tiers prépondérant ne s’y oppose (ATF 123 II 248 consid. 3c p. 254). La jurisprudence a encore précisé qu’il était nécessaire que l'autorité n'ait pas respecté la loi non pas dans un ou quelques cas isolés, mais selon une pratique constante (ATF 132 II 485 consid. 8.6 p. 510). Dans un arrêt AC.2011.0183 du 6 février 2012, le Tribunal cantonal s'est prononcé sur le droit à l’égalité dans l’illégalité invoqué par les constructeurs dans un cas où une municipalité mentionnait une pratique constante depuis l'entrée en vigueur du règlement communal sur les constructions (soit plus de 20 ans auparavant) consistant à ne pas faire application de deux dispositions de ce règlement (dispositions exigeant que des photomontages soient jointes au dossier d'enquête et exigeant qu'environ 50% des rez-de-chaussée soient affectés à une autre destination que l'habitation). Faisant application des principes dégagés de la jurisprudence du Tribunal fédéral, le Tribunal cantonal a considéré que, même si l'autorité communale avait de bons motifs pour le faire, elle ne pouvait se borner à appliquer une disposition réglementaire contre son sens clair, même de manière constante et égale, sans engager le processus de révision de la norme en question. Les conditions pour reconnaître au constructeur le droit à un traitement égal dans l’illégalité, au sens de la jurisprudence, n'étaient dès lors pas réunies. Le même constat peut être fait en l'espèce. Même à admettre que la pratique de l'autorité intimée – tendant à ne pas appliquer rigoureusement l'exigence de l'art. 64 RPE liée à un éclairage limité au "strict nécessaire" – serait constante, ce qui n'est nullement établi, il convient quoi qu'il en soit de relever que si la municipalité considère que cette règle n'est pas ou plus appropriée, il lui appartient d'engager en ce sens une procédure de révision du règlement communal, procédure qui si elle aboutit, permettra aux constructeurs de déposer un nouveau projet de construction conforme à la nouvelle réglementation relative aux ouvertures en toiture qui pourrait dans l'intervalle avoir été adoptée. Dans l'intervalle, les constructeurs ne sauraient se prévaloir du principe de l'égalité dans l'illégalité pour revendiquer une application de l'art. 64 RPE allant à l'encontre de son texte clair.</w:t>
      </w:r>
    </w:p>
    <w:p>
      <w:r>
        <w:rPr>
          <w:b/>
        </w:rPr>
        <w:t>E. 6</w:t>
      </w:r>
    </w:p>
    <w:p>
      <w:r>
        <w:t>Relevant que la construction prévue ne correspond en rien à une villa, les recourants soutiennent que le projet conduit à une utilisation extensive du potentiel de la parcelle et porte préjudice aux voisins, notamment à leur intimité (terrasses donnant une vue plongeante sur les parcelles voisines). Selon eux, la présence du bâtiment projeté trancherait de manière choquante avec la typologie des autres constructions et plus généralement avec le quartier comptant des villas d'un ou deux logements. La décision litigieuse outrepasserait la latitude de jugement conférée par l'art. 86 LATC à l'autorité communale. L'autorité intimée relève pour sa part que l'architecture du projet, certes moderne, n'en est pas moins sobre et ne compromet pas l'aspect et le caractère des lieux en l'enlaidissant.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RPE prévoit à son art. 57 que la zone de villas est destinée aux villas, mais que des établissements artisanaux ou commerciaux peuvent exceptionnellement y être autorisés pour autant qu'ils ne portent pas préjudice à l'habitation ou qu'ils ne compromettent pas le caractère du quartier.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arrêts AC.2016.0052 précité consid. 2b;  AC.2014.0208 précité consid. 4a; AC.2011.0065 du 27 janvier 2012 consid. 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arrêts précités AC.2016.0052, AC.2014.0208 et AC.2011.0065). Ainsi, le tribunal s’assurera que la question de l’intégration d’une construction ou d’une installation à l’environnement bâti a été examinée sur la base de critères objectifs (arrêts AC.2016.0052 précité consid. 2b; AC.2014.0208 précité consid. 4a; AC.2012.0388 du 28 novembre 2013 consid. 6a; AC.2013.0207 du 26 novembre 2013 consid. 3a). La jurisprudence récente du Tribunal fédéral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1C_150/2014 du 6 janvier 2015 consid. 2.2, cités in AC.2015.0269 du 16 août 2016 consid. 3e). c) Lors de l'inspection locale à laquelle il a procédé, le tribunal a pu observer que l'environnement bâti de la parcelle n° 101 se compose d'un tissu de villas ordinaires, pour certaines modernes, pour d'autres datant des années 1930, et que les faîtes des constructions ont des orientations variables. Le site ne présente ainsi ni une homogénéité ou une spécificité particulières ni des qualités esthétiques remarquables qu'il s'agirait de protéger et qui justifieraient le refus du projet. Il est vrai qu'il n'existe pas à l'heure actuelle d'autres bâtiments avec un gabarit comparable dans l'environnement direct du projet contesté. Il n'en demeure pas moins que – sous réserve du respect des règles relatives aux distances aux limites – les dimensions du bâtiment projeté, soit un petit immeuble qui peut encore s'apparenter à une villa, ne contreviennent pas aux dispositions du RPE relatives à la zone de villas, notamment en termes de hauteur. Le fait que les propriétaires des parcelles voisines n'ont pas exploité tout le potentiel constructible permis par la réglementation communale ne saurait faire échec à la construction de bâtiments aux dimensions plus importantes, dès le moment où ceux-ci respectent les exigences réglementaires relatives à la zone concernée. Enfin, lorsqu'ils invoquent une atteinte à leur intimité, les recourants perdent de vue qu'ils ne peuvent pas exiger plus que le respect des règles du RPE sur la hauteur des constructions ou sur leur distance à la limite (cf. arrêt AC.2004.0224 du 9 mars 2005 consid. 2 in fine ).</w:t>
      </w:r>
    </w:p>
    <w:p>
      <w:r>
        <w:rPr>
          <w:b/>
        </w:rPr>
        <w:t>E. 7</w:t>
      </w:r>
    </w:p>
    <w:p>
      <w:r>
        <w:t>Les recourants mettent en cause l'abattage de deux arbres qui est prévu. a) aa) L’art. 5 let. b de la loi sur la protection de la nature, des monuments et des sites du 10 décembre 1969 (LPNMS; RSV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RSV 450.11.1) prévoit ce qui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En application de ces principes, la commune de Prilly a adopté en 1981 un Règlement communal de protection des arbres (ci-après: RC). Celui-ci protège tous les arbres d'essence majeure – soit toute espèce ou variété à moyen et grand développement, pouvant atteindre une hauteur de 10 m ou plus selon l'art. 5 RC –, dont la circonférence mesurée à 1 m du sol est supérieure à 1 m (art. 3 RC). Selon l'art. 8 RC, la requête d'autorisation d'abattage doit être adressée par écrit à la municipalité, dûment motivée et accompagnée d'un plan de situation ou d'un croquis précisant l'emplacement de l'arbre à abattre; la municipalité peut accorder l'autorisation d'abattage lorsque l'une ou l'autre des conditions indiquées à l'art. 6 LPNMS ou dans ses dispositions d'application, sont réalisées, ainsi que dans les cas suivants: la salubrité d'un bâtiment est compromise (humidité); les dégagements et la lumière sont insuffisants; la sécurité des habitants ou du public, ainsi que des installations revêtant un caractère d'intérêt général, n'est plus assurée; la construction d'un bâtiment conforme aux dispositions légales en vigueur serait rendue impossible. Enfin, l'art. 9 RC règle l'obligation pour le bénéficiaire de l'autorisation d'abattage de procéder, à ses frais, à une arborisation compensatoire.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(arrêt AC.2013.0431 du 27 janvier 2015 consid. 2a). Pour statuer sur une demande d'autorisation d'abattage et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AC.2012.0261 du 27 juin 2013 consid. 2a; AC.2011.0020 précité consid. 4a; AC.2009.0289 du 31 mai 2010, consid. 8; AC.2009.0254 du 12 mai 2010, consid. 5). Dans certains arrêts (notamment AC.2005.0260 du 18 décembre 2006 cité par les recourants),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(cf. ATF 1C_477/2009 précité consid. 4.5). On relèvera encore que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AC.2015.0111 du 17 août 2016 consid. 10a; AC.2012.0300 du 12 juin 2013 consid. 6c). L'arborisation d'une parcelle constructible doit être considérée comme un élément qui n'est pas nécessairement permanent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 AC.2015.0111 précité consid. 10a et les réf. cit.). b) Contrairement à ce que retient la décision attaquée, les deux arbres destinés à être abattus (dont la circonférence est d'environ 3 m et 3.50 m et la hauteur de près de 15 m selon indications des recourants) sont protégés par le RC. L'autorité intimée l'a du reste reconnu dans ses déterminations du 17 mai 2017. c) Les recourants relèvent que le dossier d'enquête ne comprend pas de requête motivée d'abattage, au sens de l'art. 8 RC. aa) L'art. 25a de la loi fédérale du 22 juin 1979 sur l'aménagement du territoire (RS 700; LAT) énonce, à ses al. 1 à 3, des principes en matière de coordination " lorsque l'implantation ou la transformation d'une construction ou d'une installation nécessite des décisions émanant de plusieurs autorités ". 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Selon la jurisprudence du Tribunal cantonal, pour autant qu’elles poursuivent des finalités différentes, la conduite parallèle des procédures d’abattage et d’autorisation de construire ne viole pas le principe de la coordination ancré à l’art. 25a LAT (AC.2014.0209 du 6 mai 2015 consid. 2a; AC.2013.0169 du 27 février 2014 consid. 1; AC.2011.0146 du 2 juin 2012; AC.2008.0237 du 17 juillet 2009 consid. 4). Il est en outre judicieux de mettre simultanément à l'enquête publique la demande d'abattage des arbres nécessaire à la réalisation du projet de construction avec la demande de permis de construire. Les décisions autorisant l'abattage de chaque arbre et fixant les conditions applicables au reboisement notamment devraient en outre être rendues si possible en même temps que la décision sur le permis de construire et communiquées avec les réponses aux oppositions qui portent sur cet aspect (AC.2013.0169 précité consid. 1b; AC.1999.0048 du 20 septembre 2000 consid. 10b ; ATF 116 Ib 50 consid. 4b). bb) A l'aune de ce qui précède, une requête d'abattage spécifique au sens de l'art. 8 RC ne s'imposait pas, dès lors qu'une telle demande ressort déjà clairement de la demande de permis de construire, laquelle comprend, outre un formulaire indiquant que le projet implique l'abattage d'arbres, un plan de situation daté du 6 juin 2016 figurant précisément les deux arbres à abattre, ceci conformément à l'art. 69 al. 1 ch. 1 let. g du règlement d'application de la LATC du 19 septembre 1986 (RLATC; RSV 700.11.1). Les tiers étaient ainsi en mesure de saisir que la demande de construction impliquait l'abattage d'arbres directement lié à la réalisation du projet tel que présenté et n'ont pas été gênés dans l'exercice de leur droit d'opposition. Dans ces conditions, le premier grief des recourants doit être rejeté. d) Les recourants soutiennent ensuite que le maintien des arbres ne rend pas impossible le projet, ni la réalisation de places de parc suffisantes. Selon eux, telle impossibilité résulterait uniquement du fait que les constructeurs entendent utiliser le maximum du potentiel constructible de la parcelle, ce qui implique la création de nombreuses places de parc liées au grand nombre de logements. Ils considèrent que la réalisation d'un bâtiment de dimensions plus modestes, comprenant moins de logements, demeure possible tout en maintenant les arbres. Les arbres dont l'abattage est prévu (d'env. 15 m de hauteur) sont deux thuyas d'essences (non indigènes) différentes, soit des arbres d'ornement, dont l'intérêt biologique est faible. Dans la mesure où l'un deux se situe sur le futur emplacement des places de parc, tandis que l'autre gênera fortement la construction du bâtiment d'habitation projeté (cf. pv. d'audience), il apparaît que leur maintien rendrait impossible la construction projetée au sens de l'art. 8 in fine RC, respectivement limiterait le potentiel constructible maximal de la parcelle en cause. En d'autres termes, eu égard à l'intérêt public à la densification des constructions, la conservation de ces sujets ne permettrait plus de réaliser un projet correspondant à une occupation rationnelle, judicieuse et harmonieuse de la parcelle. Qui plus est, des plantations compensatoires (au sens des art. 6 al. 2 LPNMS et 9 RC) permettront vraisemblablement de suppléer à satisfaction à la perte de ces deux sujets. Le second grief des recourants doit en conséquence être écarté. Avec les recourants, on relèvera toutefois, s'agissant de ces plantations compensatoires, que le dossier d'enquête ne contient pas de plan des aménagements extérieurs, comme le prévoit l'art. 69 al. 1 ch. 8 RLATC, et qu'un tel document n'a à ce jour pas encore été déposé (cf. pv. d'audience). Il n'y a toutefois pas lieu d'examiner ici plus avant les griefs des recourants relatifs à ce manquement, lesquels invoquent la violation de leur droit d'être entendus (cf. déterminations du 15 septembre 2017), dès lors que le permis de construire doit de toute manière être annulé. S'ils déposent une nouvelle demande de permis de construire, les constructeurs veilleront à ce que le dossier d'enquête contienne cette fois un plan des aménagements extérieurs indiquant l'arborisation compensatoire destinée à être mise en place.</w:t>
      </w:r>
    </w:p>
    <w:p>
      <w:r>
        <w:rPr>
          <w:b/>
        </w:rPr>
        <w:t>E. 8</w:t>
      </w:r>
    </w:p>
    <w:p>
      <w:r>
        <w:t>Il résulte des considérants qui précèdent que le projet autorisé n'est pas réglementaire sur deux points (distances aux limites et ouvertures en toiture). Il convient par conséquent d'admettre le recours et d'annuler les décisions de la Municipalité de Prilly des 13 février 2017 et 20 février 2017 par lesquelles cette autorité a délivré un permis de construire et levé l'opposition.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les frais de justice seront supportés par les constructeurs, qui succombent. Les recourants, obtenant gain de cause en ayant procédé avec l'assistance d'un mandataire professionnel, ont droit à des dépens,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