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AC.2017.0086 vom 24. April 2017</w:t>
      </w:r>
    </w:p>
    <w:p>
      <w:r>
        <w:t>VD Tribunal cantonal, 2017-04-24, FR</w:t>
      </w:r>
    </w:p>
    <w:p>
      <w:r>
        <w:rPr>
          <w:b/>
        </w:rPr>
        <w:t xml:space="preserve">Quelle: </w:t>
      </w:r>
      <w:r>
        <w:t>https://mcp.opencaselaw.ch/entscheid/vd_omni_AC.2017.0086</w:t>
      </w:r>
    </w:p>
    <w:p>
      <w:r>
        <w:t>FR: VD_OMNI AC.2017.0086 du 24 avril 2017</w:t>
      </w:r>
    </w:p>
    <w:p>
      <w:r>
        <w:t>IT: VD_OMNI AC.2017.0086 del 24 aprile 2017</w:t>
      </w:r>
    </w:p>
    <w:p>
      <w:pPr>
        <w:pStyle w:val="Heading2"/>
      </w:pPr>
      <w:r>
        <w:t>Regeste</w:t>
      </w:r>
    </w:p>
    <w:p>
      <w:r>
        <w:t>A.________/Municipalité de Bourg-en-Lavaux | Recours tardif et demande de restitution du délai. Un éventuel défaut de communication entre conjoints s'agissant du délai de recours à respecter ne constitue pas un empêchement excusable susceptible de restituer le délai de recours. Recours irrecevable.</w:t>
      </w:r>
    </w:p>
    <w:p>
      <w:pPr>
        <w:pStyle w:val="Heading2"/>
      </w:pPr>
      <w:r>
        <w:t>Erwägungen</w:t>
      </w:r>
    </w:p>
    <w:p>
      <w:r>
        <w:rPr>
          <w:b/>
        </w:rPr>
        <w:t>E. 1</w:t>
      </w:r>
    </w:p>
    <w:p>
      <w:r>
        <w:t>Conformément à l'art. 95 de la loi vaudoise du 28 octobre 2008 sur la procédure administrative (LPA-VD; RSV 173.36), le recours au Tribunal cantonal s'exerce dans les 30 jours dès la notification de la décision attaquée.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En l'occurrence, la décision contestée est datée du 26 janvier 2017. Selon l'extrait du suivi des envois de la Poste produit par l'autorité intimée, cette décision a été postée le vendredi 27 janvier 2017 et distribuée au recourant le lundi 30 janvier 2017. Le délai de recours venait ainsi à échéance le 1 er mars 2017. L'acte de recours du recourant, bien que mentionnant la date du 25 février 2017, a été postée le 7 mars 2017. Le recours est donc tardif, ce que le recourant ne conteste au demeurant pas.</w:t>
      </w:r>
    </w:p>
    <w:p>
      <w:r>
        <w:rPr>
          <w:b/>
        </w:rPr>
        <w:t>E. 2</w:t>
      </w:r>
    </w:p>
    <w:p>
      <w:r>
        <w:t>Interpellé sur le caractère tardif de son recours, le recourant a sollicité une restitution de délai, tout en réservant un éventuel retrait de son recours. a) Bien qu'avisé le 28 mars 2017 du déroulement de la procédure, le recourant a maintenu son recours, nonobstant l'avis selon lequel sa demande de restitution de délai serait tranchée par arrêt du Tribunal cantonal. b) Conformément à l'art. 21 al. 1 LPA-VD, les délais fixés par la loi ne peuvent être prolongés. Toutefois, le délai peut être restitué lorsque la partie ou son mandataire établit avoir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 La restitution d'un délai pour empêchement non fautif est exceptionnelle; il s'agit toutefois d'un principe général du droit (Pierre Moor/Etienne Poltier, op.cit., n° 2.2.6.7). La partie qui désire obtenir une restitution de délai doit établir l'absence de toute faute de sa part; est non fautive toute circonstance qui aurait empêché un plaideur consciencieux d'agir dans le délai fixé (PS.2016.0055 du 29 novembre 2016; PS.2016.0209 du 15 août 2016 et références). c) Le recourant allègue que son retard serait dû à un problème de communication entre conjoints. Dans la mesure où le recourant a mandaté un tiers pour procéder à l'envoi de son recours, ce tiers doit être considéré comme son auxiliaire. La notion d'auxiliaire doit en effet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AC.2015.0201 précité). Or, conformément à la jurisprudence, le comportement de l’auxiliaire (et de l’auxiliaire de celui-ci) est imputable à la partie qui l’a mandaté (FI.2015.0157 du 19 mai 2016 consid. 3; AC.2015.0201 du 8 septembre 2015, consid. 2b, et les arrêts cités). En d'autres termes, une restitution de délai n'entre pas en considération quand le retard est le fait d'un auxiliaire qui ne peut pas se prévaloir lui-même d'un empêchement non fautif, quand bien même cet auxiliaire aurait reçu des instructions claires et que la partie ou le mandataire aurait satisfait à son devoir de diligence (AC.2015.0201 précité et références). d) En l'occurrence, le recourant n'allègue ni ne démontre en quoi son retard, voire celui de son conjoint, serait constitutif d'un empêchement non fautif de nature à justifier une restitution de délai. Un éventuel défaut de communication quant au délai à respecter ne constitue pas un motif excusable susceptible de restituer le délai de recours. La demande de restitution de délai doit en conséquence être refusée.</w:t>
      </w:r>
    </w:p>
    <w:p>
      <w:r>
        <w:rPr>
          <w:b/>
        </w:rPr>
        <w:t>E. 3</w:t>
      </w:r>
    </w:p>
    <w:p>
      <w:r>
        <w:t>Il résulte des considérants qui précèdent que le recours, formé tardivement, est irrecevable. Succombant, le recourant supportera l'émolument de justice (art. 49 LPA-VD). L'autorité intimée a certes procédé avec un mandataire professionnel, mais spontanément et sans avoir été invitée à se déterminer. Or le Tribunal avait annoncé qu'il se réservait de statuer uniquement sur la question de la recevabilité, se limitant à requérir la production du dossier de cette autorité. Tout bien pesé, il n'y a dès lors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