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AC.2017.0060 vom 23. Mai 2018</w:t>
      </w:r>
    </w:p>
    <w:p>
      <w:r>
        <w:t>VD Tribunal cantonal, 2018-05-23, FR</w:t>
      </w:r>
    </w:p>
    <w:p>
      <w:r>
        <w:rPr>
          <w:b/>
        </w:rPr>
        <w:t xml:space="preserve">Quelle: </w:t>
      </w:r>
      <w:r>
        <w:t>https://mcp.opencaselaw.ch/entscheid/vd_omni_AC.2017.0060</w:t>
      </w:r>
    </w:p>
    <w:p>
      <w:r>
        <w:t>FR: VD_OMNI AC.2017.0060 du 23 mai 2018</w:t>
      </w:r>
    </w:p>
    <w:p>
      <w:r>
        <w:t>IT: VD_OMNI AC.2017.0060 del 23 maggio 2018</w:t>
      </w:r>
    </w:p>
    <w:p>
      <w:pPr>
        <w:pStyle w:val="Heading2"/>
      </w:pPr>
      <w:r>
        <w:t>Regeste</w:t>
      </w:r>
    </w:p>
    <w:p>
      <w:r>
        <w:t>A.________, B.________, C.________, D.________, E.________, F.________, G.________, H.________, I.________/Municipalité de Lausanne, J.________, K.________, L.________ | Recours contre la délivrance d'un permis de construire portant sur la démolition de deux bâtiments, la construction d'un immeuble de huit appartements et l'aménagement de places de stationnement, sur une parcelle figurant dans deux inventaires (ISOS et ICOMOS). Grief relatif à l'esthétique et à l'intégration dans l'environnement rejeté: rappel de la jurisprudence selon laquelle l'autorité communale dispose d'une liberté d'appréciation particulière, contrôlée avec retenue par l'autorité de recours (consid. 8). Pour le surplus, griefs relatifs notamment à l'abattage d'arbres, au nombre de places de parc, à l'accès et à la stabilité du terrain rejetés.</w:t>
      </w:r>
    </w:p>
    <w:p>
      <w:pPr>
        <w:pStyle w:val="Heading2"/>
      </w:pPr>
      <w:r>
        <w:t>Erwägungen</w:t>
      </w:r>
    </w:p>
    <w:p>
      <w:r>
        <w:rPr>
          <w:b/>
        </w:rPr>
        <w:t>E. 1</w:t>
      </w:r>
    </w:p>
    <w:p>
      <w:r>
        <w:t>a) La voie du recours de droit administratif, au sens des art. 92 ss de la loi du 28 octobre 2008 sur la procédure administrative (LPA-VD; RSV 173.36), est ouverte contre une décision d'une municipalité délivrant un permis de construire conformément aux art. 103 ss de la loi du 4 décembre 1985 sur l'aménagement du territoire et les constructions (LATC; RSV 700.11).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et les références citées;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citées). Ces principes sont appliqués de manière constante par la jurisprudence cantonale (cf. AC.2018.0073 du 27 mars 2018 consid. 1; AC.2017.0403 du 5 mars 2018; AC.2016.0445 du 29 novembre 2017). b) En l'occurrence, la qualité pour recourir doit être reconnue à la majorité des recourants, vu la proximité de leurs parcelles avec celles à construire. Un doute est à relever pour le recourant F.________ dont la parcelle n° 6424 est située à environ 90 m des parcelles litigieuses. Cette question peut toutefois souffrir de rester indécise vu la qualité pour agir des autres recourants. Il convient en conséquence d'entrer en matière sur le recours.</w:t>
      </w:r>
    </w:p>
    <w:p>
      <w:r>
        <w:rPr>
          <w:b/>
        </w:rPr>
        <w:t>E. 2</w:t>
      </w:r>
    </w:p>
    <w:p>
      <w:r>
        <w:t>Les recourants ont requis plusieurs mesures d'instruction, notamment la tenue d'une audience, la consultation du Service cantonal Immeubles patrimoine et logistique (SIPAL) et de la Commission cantonale consultative d'urbanisme et d'architecture (CCCUA), ainsi que la participation à la procédure du SPADOM. Ils ont également requis la production de la fiche ICOMOS 24, d'un plan des aménagements extérieurs et un projet d'aménagement paysager, la production d'un rapport de la Police du feu, la pose de piquets pour les aménagements extérieurs et une expertise géologique.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b) En l'occurrence, le dossier est suffisamment complet, de sorte qu'il n'apparaît pas nécessaire de le compléter davantage. En particulier, les questions liées à la police du feu ont été complétées à l'audience et postérieurement à celle-ci. Les plans au dossier paraissent également suffisants pour statuer, sans qu'il soit nécessaire de requérir des plans complémentaires. Lors de l'audience du 20 novembre 2017, des gabarits étaient encore en place. Quant à la participation à la procédure de certaines autorités, le SPADOM a participé à l'audience précitée et a notamment fourni des explications à cette occasion. La requête d'intervention du SIPAL sera examinée ci-dessous (cf. considérant 8). Le dossier a été complété en cours de procédure par un préavis du service communal d'architecture, représenté à l'audience et qui s'est en particulier exprimé sur le projet en relation avec le quartier environnant. Il n'apparaît ainsi pas nécessaire de consulter la CCCUA. Le Tribunal s'estime en conséquence suffisamment renseigné pour statuer en l'état du dossier, sans plus ample instruction et sans qu'il n'en résulte une violation du droit d'être entendu des recourants.</w:t>
      </w:r>
    </w:p>
    <w:p>
      <w:r>
        <w:rPr>
          <w:b/>
        </w:rPr>
        <w:t>E. 3</w:t>
      </w:r>
    </w:p>
    <w:p>
      <w:r>
        <w:t>Les recourants relèvent que la décision de levée des oppositions n'est signée que par le Syndic, alors que l'art. 67 de la loi du 28 février 1956 sur les communes (LC; RSV 175.11) prévoit que les actes de la municipalité doivent être donnés sous la signature du syndic et du secrétaire ou de leur remplaçant désigné par la municipalité et munis du sceau de cette autorité. L'art. 67 al. 2 LC prévoit cependant que la municipalité peut, par décision, déléguer des pouvoirs de signature à l'un de ses membres. En l'occurrence, l'autorité intimée a produit sa liste de délégations de pouvoirs au 1 er juillet 2016, dont il ressort que le Syndic bénéficie d'une délégation de signature pour la délivrance de permis et d'autorisations de construire et/ou de démolir ainsi que toutes décisions de refus au sens de la LATC et de la loi sur les routes après que la Municipalité se soit expressément prononcée sur leur octroi ou leur refus. La décision respecte ainsi les exigences formelles de l'art. 67 LC. Ce grief est mal fondé.</w:t>
      </w:r>
    </w:p>
    <w:p>
      <w:r>
        <w:rPr>
          <w:b/>
        </w:rPr>
        <w:t>E. 4</w:t>
      </w:r>
    </w:p>
    <w:p>
      <w:r>
        <w:t>Dans un second grief d'ordre formel, les recourants se plaignent que le permis de construire ne leur a pas été notifié. Ils reconnaissent toutefois en avoir eu connaissance par la suite. a) La procédure d'enquête publique et de délivrance du permis de construire est régie par la LATC, ainsi que par le règlement du 19 septembre 1986 d'application de cette loi (RLATC, RSV 700.11.1). Il résulte de l'art. 114 al. 1 LATC qu'à l'issue du délai prévu par cette disposition, la municipalité est tenue de se déterminer en accordant ou en refusant le permis de construire. Il n'est pas prévu que la municipalité se borne à "lever l'opposition". En outre, selon l'art. 116 al. 1 LATC, les auteurs d'oppositions motivées doivent être avisés de la décision accordant ou refusant le permis, avec l'indication des dispositions légales et réglementaires invoquées, lorsque l'opposition est écartée. La jurisprudence a déjà constaté que l'art. 114 LATC n'était pas respecté si la municipalité se contentait de déclarer qu'elle levait l'opposition sans délivrer le permis de construire ni préciser les éventuelles conditions ou charges dont il serait assorti (AC.2012.0094 du 11 février 2013 consid. 2 ; AC.2012.0105 du 6 septembre 2012 consid. 4 ; AC.2010.0353 du 23 décembre 2011 consid. 3). b) En l'occurrence, le permis de construire figure au dossier et les recourants en ont eu connaissance et ont pu faire valoir tous leurs griefs contre les décisions attaquées. Un éventuel vice formel à cet égard a donc été réparé en cours de procédure. Ce grief est en conséquence rejeté.</w:t>
      </w:r>
    </w:p>
    <w:p>
      <w:r>
        <w:rPr>
          <w:b/>
        </w:rPr>
        <w:t>E. 5</w:t>
      </w:r>
    </w:p>
    <w:p>
      <w:r>
        <w:t>Les recourants critiquent le nombre de logements prévus (8). Ils contestent l'art. 14 du règlement du PPA 739 (ci-après: RPPA) qui ne serait pas conforme au but de la zone d'habitation de faible densité. Selon eux, il conviendrait d'appliquer le Règlement du Plan général d'affectation (RPGA) de 2006 à titre supplétif (cf. art. 2 RPPA). Selon l'art. 124 RPGA régissant la zone mixte de faible densité, le nombre de logements serait limité à trois par bâtiment. Inséré dans le titre IV du RPPA qui régit la zones d'habitation de faible densité et la zone mixte d'habitation et d'activités tertiaires, l'art. 14 RPPA prévoit que le nombre de logements par bâtiment n'est pas limité. Cette disposition, adoptée en 2013, est claire et sans équivoque. Il n'y a aucun motif d'appliquer ici la réglementation antérieure du RPGA, à titre supplétif. Le projet, qui comporte 8 logements, respecte l'art. 14 RPPA et ce grief doit en conséquence être rejeté.</w:t>
      </w:r>
    </w:p>
    <w:p>
      <w:r>
        <w:rPr>
          <w:b/>
        </w:rPr>
        <w:t>E. 6</w:t>
      </w:r>
    </w:p>
    <w:p>
      <w:r>
        <w:t>Selon les recourants, le bonus énergétique de l'art. 97 al. 4 LATC ne serait pas applicable ici, dès lors que le PPA 739 ne prévoit pas de coefficient d'occupation ou d'utilisation du sol (COS ou CUS), mais uniquement une surface plancher brute maximale. Le projet excéderait ainsi les limites de l'art. 10 RPPA qui prévoit que les bâtiments nouveaux doivent s'inscrire à l'intérieur des aires d'implantation des constructions. Les surfaces brutes de plancher habitables maximales par bâtiment sont indiquées sur le plan. Pour la parcelle n° 7782, la surface maximale indiquée est de 910 m 2 . a) L'art. 97 LATC a trait à l'utilisation rationnelle et à l'économie d'énergie dans les constructions. L'art. 97 al. 4 LATC prévoit que les bâtiments neufs ou rénovés atteignant des performances énergétiques sensiblement supérieures aux normes en vigueur bénéficient d'un bonus supplémentaire de 5% dans le calcul des coefficients d'occupation ou d'utilisation du sol. Au niveau communal, l'art. 39 RPPA réserve les dispositions légales édictées par la Confédération, le canton ou la commune complétant, modifiant ou abrogeant celles du PPA 739. Selon la jurisprudence constante du Tribunal cantonal, la Municipalité jouit d’un certain pouvoir d’appréciation dans l’interprétation qu’elle fait de ses règlements communaux (cf. par exemple AC.2015.0102 du 19 novembre 2015 consid. 3; AC.2014.0417 du 3 novembre 2015 consid. 3b/aa; AC.2014.337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du TF 1C_103/2008 du 23 septembre 2008 consid. 2.4 et les arrêts cités). Lorsque plusieurs interprétations sont envisageables, il faut s’en tenir à celle qui respecte l’exigence d’une base légale précise pour les restrictions du droit de propriété issues du droit public (AC.2016.0085 du 21 mars 2018; AC.2015.0125 du 20 avril 2016; AC.2015.0055 du 21 janvier 2016 consid. 4c; AC.2014.337 précité consid. 4b; AC.2009.0229 du 20 juillet 2010 consid. 1b; AC.2009.0167 du 22 mars 2010 consid. 4). b) En l'occurrence, nonobstant la référence de l'art. 10 RPPA à la notion de surface brute de plancher, plutôt qu'à un CUS ou un COS, cette réglementation prescrit aussi une mesure maximale d'utilisation du sol. La Municipalité n'a ainsi pas abusé ni excédé son large pouvoir d'appréciation en considérant que l'art. 97 LATC était également applicable dans le cadre du PPA 739 au vu de la finalité de cette disposition cantonale qui est de favoriser la construction de bâtiments permettant une utilisation rationnelle de l'énergie et une économie d'énergie. La surface maximale du bâtiment litigieux respecte ainsi les art. 10 RPPA et 97 LATC (910 + 5% = 955 m 2 ). Ce grief est en conséquence rejeté.</w:t>
      </w:r>
    </w:p>
    <w:p>
      <w:r>
        <w:rPr>
          <w:b/>
        </w:rPr>
        <w:t>E. 7</w:t>
      </w:r>
    </w:p>
    <w:p>
      <w:r>
        <w:t>Les recourants critiquent le nombre de niveaux habitables, dès lors qu'il y aurait des surcombles habitables. a) Sous le chapitre IV/2 (Aire d'implantation des constructions), l'art. 11 RPPA prévoit que la hauteur maximale des constructions est déterminée par le nombre de niveaux habitables indiqué sur le plan. En l'occurrence, le PPA prévoit ici 2 étages et combles. A la lecture des plans, le nombre d'étages est respecté. Reste à déterminer si les surcombles doivent ou non être considérés comme un étage supplémentaire. Les art 27 et 28 RLATC régissent la hauteur et l'éclairage des locaux destinés à servir à l'habitation: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Art. 28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Selon la jurisprudence, pour apprécier si un étage se prête à des fins d’habitation, la seule intention subjective des constructeurs ne joue pas un rôle décisif (AC.2007.0240 du 31 décembre 2008, consid. 9a). Il convient dans un premier temps de déterminer si les conditions d'éclairage et d'accessibilité permettent objectivement une utilisation à des fins d'habitation (AC.2010.0356 du 27 octobre 2011 consid. 2a; AC.2010.0106 du 30 août 2011 consid. 4 ; AC.2009.0039 du 24 août 2009, consid. 5b; et les références citées ; v. également RDAF 1972 p. 275).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n'est ainsi pas suffisante lorsqu'elle apparaît en contradiction avec la situation effective d'un espace disponible qui présente les caractéristiques d'une surface habitable (AC. 2009.0267 du 21 février 2011 consid. 4; AC.2007.0278 du 14 octobre 2008, consid. 6c; AC.2003.0129 du 23 décembre 2004, consid. 1a; AC.2002.0052 du 11 novembre 2002, consid. 2b). Le Tribunal a jugé à plusieurs reprises qu’il n’y avait pas lieu d'interdire préventivement la création de combles pour le seul motif qu'ils seraient susceptibles d'être (plus ou moins commodément) rendus habitables (voir notamment AC.2014.0131 du 17 août 2015 consid. 8; AC.2011.0236 du 29 mai 2012 consid. 4). b) En l'occurrence, il ressort des plans que le galetas situé en surcombles a une surface d'environ 60 m 2 . Il sera éclairé par deux vélux de 1.00 x 1.30 m chacun et d'une ouverture en façade Nord, d'environ 1.00 m. Ces ouvertures ne sont manifestement pas suffisantes en termes d'éclairage, au sens de l'art. 28 RLATC. La distance minimale de l'art. 27 al. 2 RLATC n'apparaît pas non plus respectée sur la moitié de la surface utilisable mesurée à partir d'une hauteur de 1.30 m sous le plafond. Enfin, ce niveau sera desservi uniquement par un escalier de type trappe (Felma). L'appréciation de la Municipalité selon laquelle de tels surcombles ne sont pas habitables ne prête pas le flanc à la critique et peut être confirmée. Ce grief est rejeté.</w:t>
      </w:r>
    </w:p>
    <w:p>
      <w:r>
        <w:rPr>
          <w:b/>
        </w:rPr>
        <w:t>E. 8</w:t>
      </w:r>
    </w:p>
    <w:p>
      <w:r>
        <w:t>Les recourants font grief au projet de ne pas s'intégrer dans le quartier qui est particulièrement sensible et doit être protégé compte tenu notamment de son inscription dans plusieurs inventaires (ISOS et ICOMOS). Le bâtiment moderne et d'un volume excessif ne s'intégrerait pas aux constructions environnantes et ils critiquent la présence de panneaux solaires. Ils demandent que le dossier soit complété par un plan des aménagements extérieurs.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Sur le plan communal, le Titre V du RPPA, intitulé " Bâtiments à conserver et jardins d'intérêt historique ", prévoit, à son art. 30, que la Municipalité est en droit de refuser tout projet qui, par sa conception, compromettrait l'environnement architectural des bâtiments à conserver ou la qualité des jardins d'intérêt historique recensés en vertu de la loi sur la protection de la nature, des monuments et des sites.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AC.2015.0111 du 17 août 2016; AC.2015.0182 du 26 avril 2016 consid. 6b; AC.2013.0378 du 12 mars 2014 consid. 5b/bb et les références).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TF 1C_452/2016 du 7 juin 2017).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(AC.2015.0111 précité; AC.2015.0182 du 26 avril 2016 consid. 6b; AC.2013.0478 du 3 septembre 2014 consid. 1a/cc et les références). 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(AC.2015.0111 précité; AC.2014.0389 du 15 décembre 2015; AC.2015.0089 du 11 novembre 2015 consid. 3a/dd;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arrêts AC.2015.0089 précité consid. 3a/dd; AC.2014.0166 précité consid. 2a/bb; AC.2010.0127 du 6 janvier 2011). d) Dans le cas présent, il convient de rappeler que les bâtiments existants (n os ECA 16139 et 16140) ne présentent aucun intérêt architectural, seul le jardin des parcelles n os 7782 et 7783 étant considéré comme méritant une protection, une note 3 lui étant attribuée selon le recensement ICOMOS (cf. préavis de la Déléguée communale à la protection du patrimoine). Les recourants sollicitent l'intervention du SIPAL dans la procédure, compte tenu des inventaires précités dans lequel se situent les parcelles litigieuses. La Municipalité se réfère pour sa part à une convention de juillet 2010 entre l'Etat de Vaud et la Ville de Lausanne relative à la coordination et à la répartition des tâches en matière de préavis et d'autorisations concernant le patrimoine bâti. Aux termes de cette convention, la Déléguée communale à la protection du patrimoine préavise les autorisations de construire pour les objets évalués en note 3 au recensement architectural du canton. Le SIPAL n'intervient que pour les objets recensés en note 1 ou 2 ou lorsque la Municipalité ne suit pas l'avis de sa Déléguée. Les recourants semblent mettre en doute cette répartition des tâches. aa) La jurisprudence a déjà eu l'occasion de rappeler que le recensement architectural n'est pas prévu expressément dans la loi du 10 décembre 1969 sur la protection de la nature, des monuments et des sites (LPNMS; RSV 450.11). Il en va de même du recensement des paysages, localités et sites construits. Ceux-ci trouvent leur fondement aux art. 26 et 30 du règlement d’application de la LPNMS du 22 mars 1989 (RLPNMS; RSV 450.11.1), qui disposent que le département établit le recensement des paysages, localités et sites construits, respectivement le recensement architectural des constructions en collaboration avec les communes concernées. Selon les art. 27 et 31 RLPNMS, ces recensements servent de base aux inventaires prévus aux art. 12 et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(AC.2015.0149 du 22 avril 2016 et références; cf. aussi AC.2017.0155 du 26 mars 2018). Il en va de même pour le recensement de paysages selon l'art. 26 RLPMNS. A l'exception des notes "1" et "2" (qui impliquent une mise à l'inventaire), les notes attribuées ont un caractère purement indicatif et informatif; elles ne constituent pas une mesure de protection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(AC.2015.0153 du 15 septembre 2016; AC 2009.0209 précité  consid. 2a ; AC.2008.0328 du 27 novembre 2009 consid. 4b et les arrêts cités). bb) Dans la mesure où le jardin litigieux est recensé en note 3 ICOMOS, il n'y a pas lieu, pour l'autorité cantonale, de délivrer d'autorisation spéciale au sens de l'art. 120 LATC dans le cas présent, mais tout au plus un préavis. L'art. 73 RPGA applicable à titre supplétif (art. 2 RPPA) prévoit que tous travaux concernant des bâtiments, des objets ou des sites figurant au recensement architectural, au recensement des jardins d'intérêt historique et au recensement des ensembles bâtis font l'objet d'un préavis du délégué communal à la protection du patrimoine bâti. Un tel préavis a bien été délivré en l'espèce. Il n'apparaît ainsi pas nécessaire de requérir l'avis du SIPAL dans un tel cas (cf. par ex. TF 1C_493/2016 du 30 mai 2017 consid. 2.5; question laissée ouverte dans les arrêts AC.2017.0017 du 19 octobre 2017; AC.2016.0450 du 17 octobre 2017; AC.2015.0153 du 15 septembre 2016 consid. 5). Tout bien pesé, le Tribunal retient que le présent projet litigieux a fait l'objet d'un examen circonstancié et concordant par deux autorités communales distinctes, soit la Déléguée à la protection du patrimoine, conformément à l'art. 73 RPGA et le service d'architecture. Il n'apparaît dans ces circonstances pas nécessaire de compléter davantage l'instruction du dossier à cet égard. e) Sur le fond, comme on l'a vu ci-dessus, le nouveau bâtiment à construire respecte les dimensions maximales autorisées par la planification (art. 10 RPPA et 97 LATC). Cette planification relativement récente (PPA 739 de 2013) a d'ailleurs expressément pris en considération les spécificités du quartier de Bellevue, en particulier en maintenant de larges espaces de verdure. La Municipalité a expliqué en audience que c'est notamment dans ce but que la répartition des possibilités de bâtir sur les parcelles des constructeurs a été reportée sur la parcelle n° 7782, de sorte à maintenir un large espace de verdure sur la parcelle n° 7783. La situation diffère ainsi de celle jugée dans la cause précitée AC.2015.0111 relatif à un projet de construction dans un quartier proche (chemin de la Gottétaz), dans laquelle la parcelle litigieuse n'était pas colloquée dans une planification spéciale, mais était régie par le PGA de 2006 et n'était limitée par aucune mesure d'utilisation du sol, ce qui justifiait d'être particulièrement strict dans l'application de la clause d'esthétique, de manière à éviter des projets qui, en raison de leurs dimensions, ne seraient manifestement pas intégrés à l'environnement bâti (AC.2015.0111 précité, consid. 11). Appelée à se déterminer sur le présent projet litigieux, la Déléguée communale à la protection du patrimoine a relevé que le projet litigieux présente une architecture "légère", non minérale, qui tient compte de la qualité de l'arborisation de la parcelle. Considérant que toutes les mesures raisonnables avaient été prises pour permettre de conserver l'arborisation existante, elle estime que le projet est compatible avec l'objectif de protection des jardins, sous réserve d'un aménagement paysager de qualité. En audience, la Déléguée précitée a précisé qu'elle entendait par ces derniers termes garantir le maintien du grand hêtre et des deux pins noirs présents sur la parcelle. Dans cette mesure, le plan des aménagements extérieurs figurant au dossier est suffisant, de sorte qu'il n'est pas nécessaire de compléter le dossier sur ce point, comme l'ont requis les recourants. Le Tribunal relève que la Municipalité a pris un soin particulier dans l'examen du projet litigieux. Elle a encore requis, en plus du préavis de la Déléguée communale à la protection du patrimoine, un préavis de son service d'architecture, compte tenu de l'inventaire ISOS de 2015-2016. Ce dernier préavis, du 20 juillet 2017, retient notamment que le projet litigieux est un bâtiment à ossature béton, de deux niveaux sur rez, qui cherche, par son architecture de type pavillonnaire, à s'intégrer dans son environnement paysager remarquable. Son intégration se lit également par une architecture aux lignes horizontales simples, surlignées par les dalles d'étages et de grandes ouvertures à volets coulissants. Ce choix architectural tasse la verticalité et renforce le glissement du bâtiment dans la topographie et par-là son intégration. Les balcons appuient cette horizontalité ainsi que l'ancrage dans le paysage, tout en minimisant l'impact volumétrique. Le service précité recommande un traitement des façades en bois ou systèmes à panneaux, plutôt que du crépi. Ce préavis conclut que l'expression architecturale, bien que différente des architectures avoisinantes, tant du point de vue de sa modénature que de sa volumétrie, s'intègre dans son contexte paysager et n'est pas de nature à prétériter la qualité du site et de son environnement. Le Tribunal a procédé à une vision locale, à l'occasion de laquelle il a pu constater les spécificités du quartier, caractérisé notamment par de grands espaces de verdure. S'agissant de la typologie des constructions environnantes, il a pu constater la présence d'objets anciens, mais aussi de constructions plus modernes. Compte tenu des préavis circonstanciés de la Déléguée communale à la protection du patrimoine et du service communal d'architecture, le Tribunal ne voit pas de raisons de s'écarter de l'appréciation de la Municipalité selon laquelle le projet litigieux, destiné à remplacer un bâtiment qui ne mérite aucune protection particulière, s'intègre dans l'environnement bâti, tant par son volume que par son style. Cette appréciation vaut également pour les panneaux solaires, dont on peine d'ailleurs à saisir en quoi ils seraient susceptibles de dénaturer le site de Bellevue et dont l'intérêt l'emporte en principe sur les aspects esthétiques (art. 18a al. 4 LAT). Ce grief est rejeté.</w:t>
      </w:r>
    </w:p>
    <w:p>
      <w:r>
        <w:rPr>
          <w:b/>
        </w:rPr>
        <w:t>E. 9</w:t>
      </w:r>
    </w:p>
    <w:p>
      <w:r>
        <w:t>Les recourants font grief au projet de mettre en danger les arbres qui bordent l'accès actuel, ainsi que certains arbres sur la parcelle et sur une parcelle voisine. Ils critiquent l'autorisation d'abattage de trois arbres sur la parcelle litigieuse sans compensation, décision qui ne serait pas motivée. a) En ce qui concerne les arbres bordant le chemin d'accès, le rapport d'expertise ********, du 30 septembre 2016, conclut que la situation ne va pas être péjorée par rapport à la situation actuelle, moyennant la prise de quelques mesures lors du chantier. Le permis de construire litigieux exige le respect intégral des mesures préconisées par ce rapport et prescrit encore plusieurs conditions (cf. pages 8 et 9 du permis de construire). Le SPADOM a aussi confirmé ces mesures, dans son rapport du 13 avril 2017, ainsi qu'à l'audience. Le rapport d'********, du 29 décembre 2017 produit par les recourants, n'apporte aucun élément de nature à mettre en doute cette appréciation. b) Quant aux arbres sur la parcelle et sur une parcelle voisine, le SPADOM a précisé ses exigences de protection dans son rapport du 13 avril 2017, reprises dans le permis de construire comme suit: "[...] Durant toute la durée du chantier, le hêtre, au vu de sa qualité, doit être totalement protégé (surtout l'espace racinaire). De ce fait, nous demandons un arrosage d'appoint nécessaire pour compenser les éventuels changements hydrologiques du sol et un suivi par un spécialiste durant tout le chantier pour lui garantir des soins appropriés, les mêmes précautions seront prises pour le pin noir. Sa statique et sa santé seront garanties par des mesures de protection concrètes. Nous demandons également que la sécurité des 3 arbres au sud de la parcelle (érable sycomore, robinier et mélèze soit garantie afin de leur assurer des soins appropriés. A la fin du chantier l'état sanitaire en regard du constat initial sera contrôlé. [...]" Dans son rapport du 13 avril 2017, le SPADOM exige encore la protection des arbres sur la parcelle voisine n° 6440 lors de la construction de la rampe du garage souterrain. Ce service exige la présentation de mesures de réalisation avec plans de détail avant l'acceptation des travaux de cette rampe. En audience, la Municipalité et le SPADOM ont donné quelques précisions quant aux doutes des recourants relatifs à la protection des arbres: si un gabarit est actuellement situé dans la couronne du hêtre, c'est en raison du retard dans l'entretien de l'arbre d'environ 2,5 ans. Quant aux risques pour les racines des arbres à protéger, il a été précisé que le projet litigieux est prévu sans extension du sous-sol par rapport à la construction existante. Enfin, une conduite passe déjà entre les arbres, de sorte qu'aucune nouvelle creuse ne sera nécessaire à cet effet. Il ressort encore des plans au dossier de juin 2016 que l'angle Nord-Ouest du bâtiment à construire sera en retrait par rapport à la couronne du hêtre. Il en va de même des places de parc extérieures. Le rapport d'******** produit par les recourants met certes en évidence le besoin de protection des arbres, un tel besoin n'étant d'ailleurs pas contesté. Il résulte toutefois de ce qui précède que ce besoin de protection a bien été pris en considération et traité de manière circonstanciée. Le Tribunal ne voit ainsi pas de raison de s'écarter de l'appréciation de la Municipalité selon laquelle les conditions posées dans le permis de construire sont adéquates et suffisantes pour assurer la protection des arbres concernés. c) Quant à l'abattage de quelques arbres en vue de la construction, la Municipalité se réfère à la jurisprudence du Tribunal de céans. Dans un arrêt AC.2011.0021 du 21 novembre 2011 (consid. 4), le Tribunal a rappelé que l’art. 5 let. b LPNMS dispose que sont protégés les arbres que désignent les communes par voie de classement ou de règlement communal, et qui doivent être maintenus soit en raison de leur valeur esthétique, soit en raison des fonctions biologiques qu’ils assurent. A Lausanne, tout arbre d’essence majeure est protégé, en vertu de l’art. 56 RPGA; on entend par là une espèce ou une variété à moyen ou grand développement pouvant atteindre une hauteur de 10 m, présentant un caractère de longévité spécifique et ayant une valeur dendrologique reconnue (art. 25 RPGA). L’autorisation d’abattre des arbres protégés est réglée à l’art. 6 LPNMS, ainsi qu’à l’art. 15 RLPNMS. Interprétant ces dispositions, la jurisprudence retient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AC.2009.0289 du 31 mai 2010, consid. 8; CDAP AC.2009.0254 du 12 mai 2010, consid. 5; AC.2007.0102 du 23 décembre 2008, consid. 8; AC.2007.0159 du 4 mars 2008, consid. 2). En l'occurrence, l'abattage autorisé étant destiné à permettre une utilisation rationnelle du terrain, elle respecte les dispositions précitées et le Tribunal ne voit pas de raisons de s'écarter de l'appréciation de l'autorité communale à cet égard, qui résulte d'une pesée des intérêts conforme à la jurisprudence précitée. Quant à l'exigence de compensation, l’art. 59 RPGA prévoit certes une obligation de replanter, après autorisation d’abattage, si un "quota d’arbres exigibles" n’est pas rempli. En vertu de l’art. 53 RPGA, pour respecter ce quota, il faut planter un arbre d’essence majeure pour chaque tranche ou fraction de 500 m 2 de surface cadastrale de la parcelle. L'art. 53 al. 4 RPGA prévoit toutefois que les arbres existants, pour autant qu'ils soient reconnus en bonne santé, sont compris dans le nombre d'arbres exigibles. En l’espèce, dans la mesure où ces dispositions sont applicables à titre supplétif, par renvoi de l'art. 2 RPPA, la parcelle n° 7782, d'une surface de 1'590 m 2 , apparaît suffisamment arborisée nonobstant l'abattage de quelques arbres, de sorte qu'une obligation de compensation n'apparaît pas nécessaire. Ce grief est en conséquence rejeté.</w:t>
      </w:r>
    </w:p>
    <w:p>
      <w:r>
        <w:rPr>
          <w:b/>
        </w:rPr>
        <w:t>E. 10</w:t>
      </w:r>
    </w:p>
    <w:p>
      <w:r>
        <w:t>Les recourants contestent le nombre de places de parc qui serait trop élevé. a) Les art. 61 ss RPGA, applicables à titre supplétif (art. 2 RPPA) régissent les places de stationnement. La Commune de Lausanne se trouve dans le périmètre du Plan des mesures OPair 2005 de l’agglomération Lausanne-Morges (ci-après: "Plan des mesures OPair" ).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et les références). Parmi les mesures de limitation des nuisances atmosphériques, le Plan des mesures OPair traite de la question de l'offre en stationnement, de la nécessité de sa maîtrise et du mode de calcul permettant de définir le nombre de places de parc. Ainsi, il comprend une mesure AT 5 " Maîtrise du stationnement privé " qui prévoit notamment ceci: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 mise en œuvre de la mesure AT 5 "maîtrise du stationnement privé" du Plan des mesures OPair implique ainsi de vérifier la conformité des projets au regard de la norme VSS, dans sa version actuelle VSS SN 640 281 (ci-après: la norme VSS 640 281) (AC.2015.0338 du 18 août 2016 consid. 1c; AC.2013.0173 du 9 décembre 2013 consid. 4b; AC.2008.0323 du 18 août 2009 consid. 4b; AC.2007.0110 du 21 décembre 2007 consid. 12b). Le Tribunal cantonal a jugé à de nombreuses reprises que le Plan des mesures OPair de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(AC.2016.0343 du 27 avril 2017 consid. 4; AC.2015.0200 du 9 janvier 2017 consid. 3a; AC.2015.0338 précité; AC.2014.0417 du 3 novembre 2015 consid. 6a; AC.2013.0173 précité; AC.2011.0252 du 31 octobre 2012 consid. 3c; AC.2008.0323 précité; AC.2007.0110 précité; contra AC.2014.0402 du 30 mars 2016 consid. 2d). Selon la norme VSS 640 281, le dimensionnement de l'offre de stationnement pour l'affectation au logement correspond à une place par 100 m 2 de SPBU (surface de plancher brute utile) ou une place par appartement, plus 10% pour les visiteurs (ch. 9.1);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(AC.2007.0108 du 20 mai 2008 consid. 1b). Ces normes prévoient toutefois de simples valeurs indicatives. Il est admissible de retenir des valeurs indicatives inférieures pour des cas spéciaux (lettre C, ch. 9.2). Il peut être judicieux de s'écarter des valeurs indicatives afin de tenir compte des conditions locales particulières ou des formes spéciales de logement (lettre C, ch. 9.4), en particulier lorsque l'habitation se situe - comme en l'espèce - en ville et à proximité d'une desserte de transports publics (arrêt AC.2009.0182 du 5 novembre 2010 consid. 2b; repris par AC.2012.0053 du 14 décembre 2012 consid. 4c). Le Tribunal fédéral considère ainsi que, d'une manière générale, l'appréciation d'intérêts publics supérieurs parfois contradictoires peut conduire à une offre en cases de stationnement plus élevée ou plus faible que celle obtenue en appliquant la norme (ATF 132 III 285 consid. 1.3; 1C_90/2011 du 20 juillet 2011 consid. 4.2; 1C_477/2009 du 17 juin 2009 consid. 5.3). b) En l'occurrence, le projet prévoit 10 places de stationnement pour 8 logements. Si l'on se réfère à la surface de plancher (955 m 2 ), le nombre de places serait de 10 + 1 place visiteur, soit 11. En fonction du nombre de logements, le nombre de places serait de 8 + 1 place visiteur, soit 9. Dans la mesure où la Municipalité retient 10 places, son appréciation reste dans cette fourchette et ne prête pas le flanc à la critique. Ce grief est rejeté.</w:t>
      </w:r>
    </w:p>
    <w:p>
      <w:r>
        <w:rPr>
          <w:b/>
        </w:rPr>
        <w:t>E. 11</w:t>
      </w:r>
    </w:p>
    <w:p>
      <w:r>
        <w:t>Les recourants contestent l'équipement suffisant de la parcelle. L'accès actuel ne permettrait pas d'absorber l'augmentation du trafic induit par la construction litigieuse. a) Conformément à l'art. 22 al. 2 let. b LAT, l'autorisation de construire n'est délivré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 JOMINI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AC.2016.0085 du 21 mars 2018 consid. 8; AC.2014.0331 précité;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(AC.2016.0085 précité; AC.2016.0039 du 22 septembre 2017; AC.2014.0331 précité, AC.2012.0027 précité; AC.2009.0182 précité; AC.2009.0086 du 20 août 2010; AC.2008.0334 du 12 novembre 2009; AC.2008.0073 du 31 octobre 2008 consid. 3b p. 9; AC.1998.0005 du 30 avril 1999 consid. 7b p. 23, ainsi que JOMINI ,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AC.2017.0011 du 14 août 2017 consid. 2).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(AC.2016.0085; AC.2016.0039, AC.2014.0331, AC.2012.0027, AC.2012.0388, AC.2009.0182 et AC.2009.0086 précités; AC.2008.0233 du 6 mai 2009; AC.2002.0013 du 10 décembre 2002). Pour apprécier si un accès est suffisant, la jurisprudence se réfère en général aux normes de l'Union suisse des professionnels de la route et des transports, désignées normes VSS. Concernant la génération de trafic, les spécialistes du trafic considèrent qu'une place de parc induit en moyenne 2.5 à 3.5 mouvements de véhicules par jour (voir notamment AC.2016.0085 précité; AC.2013.0251 du 30 mars 2015 consid. 2; AC.2012.0226 du 15 octobre 2013 consid. 9). La fourchette tient compte de la localisation et de la qualité de la desserte en transport public. b) Dans le cas présent, l'accès pressenti pour la construction litigieuse dessert déjà la parcelle à construire de même que d'autres parcelles. Une évaluation du trafic induit par le projet litigieux (rapport ******** de juin 2016) conclut à une augmentation des mouvements de véhicules de l'ordre de 35 par jour sur un tronçon supportant actuellement quelques 70 mouvements de véhicules par jour. Si l'on se réfère à la jurisprudence précitée, 10 places de parc génèrent en moyenne 2.5 à 3.5 mouvements quotidiens, ce qui correspond à l'estimation du rapport précité. Cela étant, dans la mesure où la parcelle à construire comporte déjà deux places de parc, l'augmentation effective de trafic doit s'estimer sur 8 places de stationnement, ce qui entraîne environ 24 mouvements quotidiens supplémentaires. Le Tribunal ne voit ainsi pas de raisons de s'écarter de l'appréciation de la Municipalité selon laquelle l'accès existant est en mesure de supporter cette charge supplémentaire, le rapport ******** ayant par ailleurs bien mis en évidence la possibilité pour cet accès de supporter une augmentation quotidienne de trafic de l'ordre d'une trentaine de véhicules. Enfin, la police du feu a confirmé en audience et vidéo à l'appui qu'elle pouvait accéder en l'état à la parcelle, même avec la construction projetée. Ce grief est rejeté.</w:t>
      </w:r>
    </w:p>
    <w:p>
      <w:r>
        <w:rPr>
          <w:b/>
        </w:rPr>
        <w:t>E. 12</w:t>
      </w:r>
    </w:p>
    <w:p>
      <w:r>
        <w:t>Les recourants, mettent en doute la stabilité du terrain, ainsi que les risques liés aux sondes géothermiques. Ils relèvent également l'existence d'une source sur une parcelle voisine en contrebas qui pourrait être affectée par les travaux. Aux termes de l'art. 89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De jurisprudence constante, la municipalité ou l'ECA ne sont tenus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prestations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(AC.2016.0294 du 4 décembre 2017 consid. 11; AC.2016.0027 du 10 mars 2017 consid. 5b et les réf.cit.). a) Dans le cas présent, en ce qui concerne la présence éventuelle d'une source privée à proximité, il est douteux que les recourants aient qualité pour invoquer la protection d'une telle source sise sur une parcelle tierce qui ne les concerne pas (art. 75 LPA-VD). Quoi qu'il en soit, cette question a fait l'objet d'une remarque de la Direction cantonale des ressources et du patrimoine naturels, Ressources en eau et économie hydraulique, Eaux souterraines- Hydrogéologie (DGE/DIRNA/HG), dans la synthèse CAMAC du 15 décembre 2016: cette autorité n'a pas connaissance d'un captage privé à cet endroit, mais suggère au maître de l'ouvrage de mandater un hydrogéologue afin de préserver d'éventuels droits d'eau existants. Cette question relevant par ailleurs du droit civil, elle échappe à la compétence du Tribunal de céans. b) Quant aux risques liés aux travaux de forage, l'autorité cantonale précitée a également recommandé au maître de l'ouvrage de mandater un hydrogéologue afin de définir les mesures à prendre lors des travaux de forage et d'excavations. L'autorisation de forer a par ailleurs été délivrée moyennant le respect de plusieurs conditions, en particulier l'exigence de mandater un hydrogéologue avant le début des travaux. Cette exigence est ainsi conforme à l'art. 89 LATC. c) Quant à d'éventuels risques liés à la stabilité du terrain, l'ECA a été interpellé dans la présente procédure et a confirmé que la parcelle litigieuse n'était pas identifiée comme située en zone de danger selon la cartographie cantonale. En audience, les constructeurs ont précisé que le nouveau bâtiment serait construit dans les fondations du bâtiment existant. Le représentant du SPADOM a également précisé que la présence et le maintien des arbres sis en bordure de parcelle à cet endroit constituaient une garantie de stabilité du terrain. Il n'apparaît pas nécessaire d'instruire davantage cette question, dès lors que, comme on l'a vu ci-dessus, il appartiendra aux constructeurs de prendre toutes les mesures nécessaires au moment de la construction, qui soient propres à consolider au besoin le terrain et à écarter d'éventuels dangers lors des travaux (art. 89 LATC). Au vu de ce qui précède, le dossier des constructeurs paraît suffisant en l'état pour délivrer le permis de construire. Ce grief est rejeté dans la mesure où il est recevable.</w:t>
      </w:r>
    </w:p>
    <w:p>
      <w:r>
        <w:rPr>
          <w:b/>
        </w:rPr>
        <w:t>E. 13</w:t>
      </w:r>
    </w:p>
    <w:p>
      <w:r>
        <w:t>Il résulte des considérants qui précèdent que le recours doit être rejeté et les décisions attaquées confirmées. Succombant, les recourants supporteront l'émolument de justice (art. 49 LPA-VD), ainsi qu'une indemnité à titre de dépens en faveur des constructeurs et de l'autorité intimée qui ont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