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AC.2016.0385 vom 8. Dezember 2016</w:t>
      </w:r>
    </w:p>
    <w:p>
      <w:r>
        <w:t>VD Tribunal cantonal, 2016-12-08, FR</w:t>
      </w:r>
    </w:p>
    <w:p>
      <w:r>
        <w:rPr>
          <w:b/>
        </w:rPr>
        <w:t xml:space="preserve">Quelle: </w:t>
      </w:r>
      <w:r>
        <w:t>https://mcp.opencaselaw.ch/entscheid/vd_omni_AC.2016.0385</w:t>
      </w:r>
    </w:p>
    <w:p>
      <w:r>
        <w:t>FR: VD_OMNI AC.2016.0385 du 8 décembre 2016</w:t>
      </w:r>
    </w:p>
    <w:p>
      <w:r>
        <w:t>IT: VD_OMNI AC.2016.0385 del 8 dicembre 2016</w:t>
      </w:r>
    </w:p>
    <w:p>
      <w:pPr>
        <w:pStyle w:val="Heading2"/>
      </w:pPr>
      <w:r>
        <w:t>Regeste</w:t>
      </w:r>
    </w:p>
    <w:p>
      <w:r>
        <w:t>A.________, B.________ et C.________/Municipalité d'Echichens, D.________ SA, E.________, Service Immeubles, Patrimoine et Logistique | La motivation de la décision attaquée - levant l'opposition des recourants - est pratiquement inexistante. Compte tenu de sa gravité, ce vice formel ne peut être réparé par le tribunal. Recours manifestement bien fondé.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Les parties ont le droit d'être entendues (art. 29 al.</w:t>
      </w:r>
    </w:p>
    <w:p>
      <w:r>
        <w:rPr>
          <w:b/>
        </w:rPr>
        <w:t>E. 2</w:t>
      </w:r>
    </w:p>
    <w:p>
      <w:r>
        <w:t>Il s'ensuit que le recours doit être admis et que la décision attaquée doit être annulée. Les recourants, assistés par une avocate, ont droit à des dépens, à la charge de la Commune d'Echichens (art. 55 LPA-VD), qui supportera également un émolument judiciaire.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