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AC.2016.0345 vom 28. Februar 2017</w:t>
      </w:r>
    </w:p>
    <w:p>
      <w:r>
        <w:t>VD Tribunal cantonal, 2017-02-28, FR</w:t>
      </w:r>
    </w:p>
    <w:p>
      <w:r>
        <w:rPr>
          <w:b/>
        </w:rPr>
        <w:t xml:space="preserve">Quelle: </w:t>
      </w:r>
      <w:r>
        <w:t>https://mcp.opencaselaw.ch/entscheid/vd_omni_AC.2016.0345</w:t>
      </w:r>
    </w:p>
    <w:p>
      <w:r>
        <w:t>FR: VD_OMNI AC.2016.0345 du 28 février 2017</w:t>
      </w:r>
    </w:p>
    <w:p>
      <w:r>
        <w:t>IT: VD_OMNI AC.2016.0345 del 28 febbraio 2017</w:t>
      </w:r>
    </w:p>
    <w:p>
      <w:pPr>
        <w:pStyle w:val="Heading2"/>
      </w:pPr>
      <w:r>
        <w:t>Regeste</w:t>
      </w:r>
    </w:p>
    <w:p>
      <w:r>
        <w:t>A.________/Municipalité de Montanaire, Service du développement territorial, B.________, C.________, HOIRIE DE FEU D.________ | Recours contre une décision refusant un permis de construire, suite à une opposition du SDT, trois bâtiments créant au total 12 nouveaux logements au motif qu'une zone réservée interdisant toute nouvelle construction destinée à l'habitation serait prochainement mise à l'enquête. Mise à l'enquête de la zone réservée pendant la procédure de recours devant la CDAP. Application des art. 77 et 79 LATC en cas de création d'une zone réservée (confirmation de la jurisprudence, AC.2015.0326 du 7 juin 2016). En l'espèce, conditions d'application de l'art. 77 LATC par la municipalité remplies: projet situé dans le périmètre de la zone réservée, qui en compromettrait la réalisation et intention de réviser la planification déjà concrétisée au moment où la décision a été rendue. Rappel que la recourante pourra formuler ses griefs contre la création de la zone réservée dans le cadre d'un éventuel recours dirigée contre l'adoption de celle-ci par le Conseil communal. Recours rejeté.</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de la loi du 4 décembre 1985 sur l'aménagement du territoire et les constructions (LATC; RSV 700.11), la décision attaquée n’est pas susceptible de recours devant une autre autorité. La Cour de droit administratif et public du Tribunal cantonal est dès lors compétente. Dès lors qu'elle est directement touchée par la décision attaquée en tant que constructrice et propriétaire, la recourante dispose manifestement de la qualité pour recourir contre celle-ci (art. 75 LPA-VD). Remis à un bureau de poste suisse à l'adresse de l'autorité compétente le 26 septembre 2016, soit dans le délai légal de 30 jours dès la notification de la décision attaquée (art. 95 LPA-VD), le recours a été déposé en temps utile et répond pour le surplus aux autres exigences formelles posées par la loi (art. 79 LPA-VD par renvoi de l’art. 99 LPA-VD), si bien qu’il convient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dispose: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(arrêts TF 1C_696/2013 du 31 janvier 2014 consid. 2.2; 1P.421/2006 du 15 mai 2007 et les références citées).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Les délais des art. 77 et 79 LATC ne sont pas des délais d'ordre mais des délais impératifs destinés à limiter strictement l'effet paralysant des dispositions futures sur les droits des requérants (AC.2015.0326 du 7 juin 2016 consid. 3a; AC.2007.0204 du 31 janvier 2008, AC.2005.0283 du 2 juin 2016 consid. 2a/cc; RDAF 1990 p. 251).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77 LATC, la municipalité qui applique cette disposition, jouit d'une grande latitude de jugement (cf. arrêts CDAP AC.2015.0049 du 22 novembre 2016 consid. 2b; AC.2015.0326 du 7 juin 2016 consid. 3b; AC.2014.0166 du 17 mars 2015 consid. 2e/aa; AC.2011.0111 du 27 février 2012 consid. 3b/aa). La municipalité dispose donc d'un pouvoir d'appréciation qui lui permet notamment de délivrer le permis de construire alors même que le projet serait contraire à la réglementation future envisagée (cf. arrêts CDAP AC.2015.0049 du 22 novembre 2016 consid. 2b; AC.2014.0166 du 17 mars 2015 consid. 2e/aa; AC.2011.0256 du 21 mai 2013 consid. 3c). Quant à l'art. 79 LATC, qui règle le refus d’autorisations de bâtir, il s'applique à partir du moment où les plans et règlements envisagés sont soumis à l'enquête publique; dès cet instant, la municipalité refuse toute autorisation de bâtir allant à l'encontre du projet. Cette disposition est impérative et s'applique d'office (cf. arrêt CDAP AC.2015.0049 du 22 novembre 2016 consid. 2b; AC.2015.0192 du 9 février 2016 consid. 2c; AC.2000.0212 du 12 juillet 2006 consid. 3a; voir aussi RDAF 1990 p. 247). Selon la jurisprudence (AC.2015.0326 du 7 juin 2016 consid. 3), le refus de permis de construire fondé sur l'art. 77 ou 79 LATC se distingue de la décision de créer une zone réservée, mais les deux instruments constituent des mesures provisionnelles prises dans le cadre d'une procédure de planification et ont les mêmes effets (cf. arrêt 1995.0202 du 23 février 1996, publié in RDAF 1996 p. 476). Dans le système du droit vaudois, l'adoption d'une zone réservée est soumise à la même procédure que l'adoption ou la modification d'une zone "ordinaire" du plan d'affectation. Dès lors, l'art. 79 al. 1 LATC s'applique aussi dès l'ouverture d'une enquête publique concernant une zone réservée. La mesure provisionnelle "de type individuel" que représente un refus de permis de construire sur la base de l'art. 79 LATC est en quelque sorte combinée avec la mesure provisionnelle "de type général" qu'est la zone réservée et on évite ainsi le risque de compromettre la future planification (cf. Manuel Bianchi, La révision du plan d'affectation communal, Lausanne 1990, p. 178 s.). b) En l'espèce, la recourante fait grief à l'autorité communale d'avoir fait preuve d'arbitraire en prenant en compte uniquement l'opposition du Service du développement territorial, sans procéder à une balance des intérêts en présence, et en n'examinant pas les autres oppositions formées à l'encontre du projet. Cette argumentation ne peut être suivie. En effet, la décision attaquée ne se fonde pas sur le contenu de l'opposition du Service du développement territorial mais sur la conformité du projet avec la planification envisagée par la municipalité, soit la création d'une zone réservée. La révision de la planification relève donc bien de l'intention de l'autorité communale, peu importe à cet égard que cette intention se soit concrétisées après différentes interventions du Service du développement territorial. Enfin, dans la mesure où la municipalité a refusé le projet au motif qu'il était contraire à la planification envisagée, elle pouvait sans tomber dans l'arbitraire ne pas examiner si les griefs formulés par les autres opposants étaient bien fondés. Il convient dès lors d'examiner si l'autorité a correctement appliqué l'art. 77 LATC, puisque, conformément à la jurisprudence précitée (AC.2015.0326 du 7 juin 2016 consid. 3), cette disposition trouve également à s'appliquer en cas de création d'une zone réservée. La décision de refus du permis de construire a été prise le 25 août 2016 et le recours formé à son encontre a été déposé le 26 septembre 2016. Le projet de plan de zone réservée et de son règlement a été soumis depuis lors à l'enquête publique. D'abord, il résulte des plans figurant au dossier que les parcelles qui supporteraient le projet litigieux sont situées dans le périmètre de la zone réservée de la localité de Peyres-Possens telle qu'elle a été envisagée, puis mise à l'enquête, par l'autorité intimée. A cet égard, le grief de la recourante faisant valoir une imprécision du périmètre de la zone réservée apparaît mal fondé. Le projet litigieux entraînerait la création de douze nouveaux logements et la destruction du seul bâtiment existant, à destination agricole. Il ne fait donc aucun doute que l'opération envisagée, qui ne peut être qualifiée de transformation, tombe dans le champ d'application de l'art. 3 du projet de règlement de dite zone réservée qui interdit toute nouvelle construction dans le périmètre concerné. Au stade de la mesure provisionnelle que constitue l'art. 77 LATC, cet argument est suffisant pour permettre à l'autorité municipale de refuser le permis de construire. Il est en outre établi que l'intention de l'autorité intimée de réviser la planification générale avait déjà fait l'objet d'une concrétisation au moment où la décision attaquée a été rendue. Ainsi, la municipalité a informé la recourante de cette intention au moment où elle a déposé sa demande de permis de construire. En outre, elle a transmis les documents au Service du développement territorial pour examen préalable le 28 juillet 2016, soit avant que la décision attaquée ait été rendue. On relèvera en outre que la révision de la planification générale communale était de toute manière rendue indispensable suite à la fusion des anciennes communes ainsi qu'à l'ancienneté de la planification de l'ancienne commune de Peyres-Possens. En effet, selon l'art. 12 al. 1 et 2 de la loi du 7 décembre 2004 sur les fusions de communes (LFusCom; RSV 175.61), la nouvelle règlementation sur l'aménagement du territoire et les constructions doit être adoptée dans les meilleurs délais après la fusion. Enfin, il apparaît à tout le moins vraisemblable que la réalisation du projet, qui est d'une importance considérable pour la localité de Peyres-Possens comme pour la commune de Montanaire elle-même, compromettrait la réalisation des objectifs de la planification envisagée par la commune. Dans la mesure où celle-ci doit réduire l'étendue de ses zones à bâtir, il n'est à tout le moins pas exclu que, compte tenu de leur situation attenante à la zone agricole, toutes ou certaines des parcelles dont la recourante est propriétaire ne soient à l'avenir plus classées dans la zone à bâtir. Compte tenu de l'importante marge d'appréciation qui doit être reconnue à l'autorité communale dans l'application de l'art. 77 LATC, il résulte de ce qui précède que celle-ci n'a pas excédé son pouvoir d'appréciation en refusant le permis de construire sollicité au motif que celui-ci était contraire à la zone réservée envisagée. Pour le surplus, comme le relève à juste titre l'autorité intimée, il appartiendra à la recourante de formuler ses griefs contre le principe même de la création de la zone réservée ou de son étendue en lien avec les dispositions de la loi fédérale du 22 juin 1979 sur l'aménagement du territoire (LAT; RS 700) dans le cadre de la procédure visant l'adoption de cette planification. Ainsi, ce n'est que dans l'hypothèse d'un recours dirigé contre l'adoption, respectivement la décision d'approbation, de la zone réservée que la Cour de céans examinera les griefs soulevés par la recourante en lien avec la prise en compte de données statistiques erronées ou la nécessité de prévoir un développement non uniquement à l'échelon communal mais pour chacune des localités formant la commune de Montanaire. 3. Mal fondé, le recours doit donc être rejeté et la décision entreprise confirmée. La recourante, qui succombe, supportera les frais de la cause (art. 49 LPA-VD). Représentée par un avocat, l'autorité intimée a droit à une indemnité à titre de dépens (art. 55 LPA-VD). Il n'y a en revanche pas lieu d'allouer des dépens aux opposants qui n'ont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