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AC.2016.0339 vom 17. März 2017</w:t>
      </w:r>
    </w:p>
    <w:p>
      <w:r>
        <w:t>VD Tribunal cantonal, 2017-03-17, FR</w:t>
      </w:r>
    </w:p>
    <w:p>
      <w:r>
        <w:rPr>
          <w:b/>
        </w:rPr>
        <w:t xml:space="preserve">Quelle: </w:t>
      </w:r>
      <w:r>
        <w:t>https://mcp.opencaselaw.ch/entscheid/vd_omni_AC.2016.0339</w:t>
      </w:r>
    </w:p>
    <w:p>
      <w:r>
        <w:t>FR: VD_OMNI AC.2016.0339 du 17 mars 2017</w:t>
      </w:r>
    </w:p>
    <w:p>
      <w:r>
        <w:t>IT: VD_OMNI AC.2016.0339 del 17 marzo 2017</w:t>
      </w:r>
    </w:p>
    <w:p>
      <w:pPr>
        <w:pStyle w:val="Heading2"/>
      </w:pPr>
      <w:r>
        <w:t>Regeste</w:t>
      </w:r>
    </w:p>
    <w:p>
      <w:r>
        <w:t>A.________, B.________/Municipalité de Donneloye, C.________, D.________, E.________, F.________, G.________, H.________, I.________, J.________, K.________ | Recours contre le refus de la municipalité d'autoriser la construction d'un immeuble d'habitation avec garages. Au vu des circonstances, la municipalité n'a pas abusé de sa marge d'appréciation ni violé le principe de la bonne foi en considérant, trois jours avant la mise à l'enquête publique d'un projet de zone réservée, que l'art. 77 LATC ne lui permettait pas de délivrer le permis de construire pour un ouvrage non conforme à la zone réservée envisagée. De plus, vu la disproportion entre la volumétrie du bâtiment prévu et les constructions voisines, l'autorisation de construire doit être refusée également sur la base de la clause d'esthétique, en l'absence de règle communale concernant les CUS et COS et la hauteur au faîte. Recours rejeté.</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Il résulte des considérants qui précèdent que le recours doit être rejeté et la décision attaquée confirmée. Succombant, les recourants supporteront un émolument judiciaire et verseront une indemnité à titre de dépens à la commune de Donneloye et aux opposants, qui obtiennent gain de cause en ayant procédé par l'intermédiaire d'un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