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AC.2016.0329 vom 12. Oktober 2016</w:t>
      </w:r>
    </w:p>
    <w:p>
      <w:r>
        <w:t>VD Tribunal cantonal, 2016-10-12, FR</w:t>
      </w:r>
    </w:p>
    <w:p>
      <w:r>
        <w:rPr>
          <w:b/>
        </w:rPr>
        <w:t xml:space="preserve">Quelle: </w:t>
      </w:r>
      <w:r>
        <w:t>https://mcp.opencaselaw.ch/entscheid/vd_omni_AC.2016.0329</w:t>
      </w:r>
    </w:p>
    <w:p>
      <w:r>
        <w:t>FR: VD_OMNI AC.2016.0329 du 12 octobre 2016</w:t>
      </w:r>
    </w:p>
    <w:p>
      <w:r>
        <w:t>IT: VD_OMNI AC.2016.0329 del 12 ottobre 2016</w:t>
      </w:r>
    </w:p>
    <w:p>
      <w:pPr>
        <w:pStyle w:val="Heading2"/>
      </w:pPr>
      <w:r>
        <w:t>Regeste</w:t>
      </w:r>
    </w:p>
    <w:p>
      <w:r>
        <w:t>A.________/Municipalité de Bourg-en-Lavaux, B.________ | Recours contre une décision d'exécution d'un ordre de remise en état confirmé par la CDAP (AC.2015.0300). Absence de qualité pour recourir, la recourante, locataire, n'étant ni la destinataire de l'ordre, ni la propriétaire de la parcelle en question. Recours irrecevable.</w:t>
      </w:r>
    </w:p>
    <w:p>
      <w:pPr>
        <w:pStyle w:val="Heading2"/>
      </w:pPr>
      <w:r>
        <w:t>Erwägungen</w:t>
      </w:r>
    </w:p>
    <w:p>
      <w:r>
        <w:rPr>
          <w:b/>
        </w:rPr>
        <w:t>E. 1</w:t>
      </w:r>
    </w:p>
    <w:p>
      <w:r>
        <w:t>Le Tribunal cantonal examine d'office et librement la recevabilité des recours qui lui sont soumis. a) La décision attaquée est une décision d'exécution d'un ordre de remise en état entré en force, puisque l'arrêt AC.2015.0300 du 25 juillet 2016 n'a pas fait l'objet d'un recours au Tribunal fédéral. Après cet arrêt, il incombait à la municipalité de fixer au propriétaire de l'immeuble un délai pour s'exécuter. Une telle décision d'exécution peut en principe faire l'objet d'un recours de droit administratif, au sens des art. 92 ss de la loi du 28 octobre 2008 sur la procédure administrative (LPA-VD; RSV 173.36), seules les modalités d'exécution pouvant être contestées, à l'exclusion de la décision de base. Ainsi, dans le cas particulier, la contestation pourrait porter à ce stade sur la durée du délai (3.5 mois), mais pas sur le principe de la remise en état. b) Le propriétaire de l'immeuble, en tant que destinataire de l'ordre de remise en état puis de la décision d'exécution du 12 août 2016, aurait eu qualité pour recourir contre cette dernière décision, étant directement atteint par la décision attaquée et disposant d'un intérêt digne de protection à ce qu'elle soit annulée ou modifiée – selon la définition de la qualité pour recourir de l'art. 75 let. a LPA-VD. Or il n'a pas recouru. Sa locataire, à qui il n'incombe pas de remettre en état la clôture, n'est quant à elle pas directement atteinte et elle n'a pas d'intérêt digne de protection à ce qu'un délai d'exécution plus long ou plus bref soit fixé. En tant que locataire, la recourante n'a donc pas qualité pour agir au sens de l'art. 75 let. a LPA-VD. En outre, elle n'est pas destinée à succéder à B.________, en tant que propriétaire de la parcelle, avant l'échéance du délai fixé par la municipalité; sa qualité de "future propriétaire" n'est qu'hypothétique, la recourante admettant qu'un projet de transfert immobilier envisagé il y a huit ans ne s'est pas concrétisé. Dans ces conditions, le recours est manifestement irrecevable, pour défaut de qualité pour recourir. Le présent arrêt d'irrecevabilité doit être rendu selon la procédure simplifiée de l'art. 82 LPA-VD, sans échange d'écritures ni autres mesures d'instruction.</w:t>
      </w:r>
    </w:p>
    <w:p>
      <w:r>
        <w:rPr>
          <w:b/>
        </w:rPr>
        <w:t>E. 2</w:t>
      </w:r>
    </w:p>
    <w:p>
      <w:r>
        <w:t>Les frais de justice doivent être mis à la charge de la recourante, qui succombe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