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AC.2016.0310 vom 2. Mai 2017</w:t>
      </w:r>
    </w:p>
    <w:p>
      <w:r>
        <w:t>VD Tribunal cantonal, 2017-05-02, FR</w:t>
      </w:r>
    </w:p>
    <w:p>
      <w:r>
        <w:rPr>
          <w:b/>
        </w:rPr>
        <w:t xml:space="preserve">Quelle: </w:t>
      </w:r>
      <w:r>
        <w:t>https://mcp.opencaselaw.ch/entscheid/vd_omni_AC.2016.0310</w:t>
      </w:r>
    </w:p>
    <w:p>
      <w:r>
        <w:t>FR: VD_OMNI AC.2016.0310 du 2 mai 2017</w:t>
      </w:r>
    </w:p>
    <w:p>
      <w:r>
        <w:t>IT: VD_OMNI AC.2016.0310 del 2 maggio 2017</w:t>
      </w:r>
    </w:p>
    <w:p>
      <w:pPr>
        <w:pStyle w:val="Heading2"/>
      </w:pPr>
      <w:r>
        <w:t>Regeste</w:t>
      </w:r>
    </w:p>
    <w:p>
      <w:r>
        <w:t>A.________, B.________, C.________, D.________, E.________, F.________, G.________/Municipalité de Lutry, H.________, I.________, J.________ et K.________ | Projet de construction d'une villa dans une zone d'habitation sise au Nord de la zone viticole située en amont du village de Lutry. Le recours des propriétaires de parcelles sises en amont du projet est rejeté. La distance minimale de l'art. 36 LRou s'applique aux constructions et à leurs annexes qui peuvent servir à l'habitation ou au travail, soit au séjour des personnes; en revanche, une marquise accolée à la façade, n'étant pas destinée au séjour de personnes, n'est pas astreinte à respecter la distance minimale de l'art. 36 LRou (consid. 1). Doit être admise, compte tenu du pouvoir d'appréciation de la municipalité, l'interprétation que fait celle-ci de son règlement - selon laquelle les lucarnes, au même titre que le faîte, peuvent prendre place dans le mètre supplémentaire autorisé au-dessus de la corniche (consid. 5). Rappel de la jurisprudence du tribunal selon laquelle il est disproportionné d'exiger le dépôt d'une étude géotechnique au stade de la demande de permis de construire lorsque la constructibilité du terrain n'est pas remise en cause (consid. 6). Recours admis par le Tribunal fédéral (1C_309/2017 du 20 novembe 2017) qui renvoie le dossier à la municipalité pourqu'elle refuse le permis de construire ou qu'elle l'accorde en interdisant les lucarnes au-dessus du maximum.</w:t>
      </w:r>
    </w:p>
    <w:p>
      <w:pPr>
        <w:pStyle w:val="Heading2"/>
      </w:pPr>
      <w:r>
        <w:t>Erwägungen</w:t>
      </w:r>
    </w:p>
    <w:p>
      <w:r>
        <w:rPr>
          <w:b/>
        </w:rPr>
        <w:t>E. 1</w:t>
      </w:r>
    </w:p>
    <w:p>
      <w:r>
        <w:t>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w:t>
      </w:r>
    </w:p>
    <w:p>
      <w:r>
        <w:rPr>
          <w:b/>
        </w:rPr>
        <w:t>E. 2</w:t>
      </w:r>
    </w:p>
    <w:p>
      <w:r>
        <w:t>La distance est calculée par rapport à l'axe de la chaussée, délimitée par les voies de circulation principales.</w:t>
      </w:r>
    </w:p>
    <w:p>
      <w:r>
        <w:rPr>
          <w:b/>
        </w:rPr>
        <w:t>E. 3</w:t>
      </w:r>
    </w:p>
    <w:p>
      <w:r>
        <w:t>Aux abords des carrefours, les distances à observer sont déterminées par le département ou par la municipalité selon qu'il s'agit de routes cantonales ou communales.</w:t>
      </w:r>
    </w:p>
    <w:p>
      <w:r>
        <w:rPr>
          <w:b/>
        </w:rPr>
        <w:t>E. 4</w:t>
      </w:r>
    </w:p>
    <w:p>
      <w:r>
        <w:t>Ces constructions ne peuvent être autorisées que pour autant qu'elles n'entraînent aucun préjudice pour les voisins.</w:t>
      </w:r>
    </w:p>
    <w:p>
      <w:r>
        <w:rPr>
          <w:b/>
        </w:rPr>
        <w:t>E. 5</w:t>
      </w:r>
    </w:p>
    <w:p>
      <w:r>
        <w:t>a) Les recourants font valoir que les lucarnes ne sont pas règlementaires. b) L'art. 19 RCAT a la teneur suivante: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 En outre, l'art. 22 RCAT prévoit que des éléments de construction au-dessus de la limite de hauteur sont autorisés s'il s'agit de bâtiments d'utilité publique ou pour répondre aux nécessités d'exploitation d'une activité professionnelle. L'art. 160 RCAT dispose quant à lui qu'en zone d'habitation II, la hauteur (H) des bâtiments, mesurée conformément aux dispositions de l'art. 19 RCAT, est limitée à 8 m. c) En l'espèce, il ressort des plans que le bâtiment présente une hauteur de 8 m à la corniche et de 9 m au faîte, et que les lucarnes, qui sont placées dans le toit, sont sises au-dessus de 8 m. Les recourants contestent que les lucarnes puissent prendre place à une hauteur supérieure à celle de 8 m prescrite par les art. 19 et 160 RCAT. Les représentants de la municipalité ont expliqué lors de l'audience que la municipalité a pour pratique d'autoriser les lucarnes - au même titre que le faîte - dans le mètre supplémentaire prescrit par l'art. 19 al. 3 RCAT. Ils ont fait valoir que, dans le cas contraire (si les lucarnes devaient être placées en-dessous de 8 m), il ne serait jamais possible de construire des lucarnes. d)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(arrêts AC.2014.0098 du 20 mai 2015 consid. 3c; AC.2014.0151 du 30 juillet 2014 consid. 1a et les références; AC.2012.0340 du 2 août 2013 consid. 7b). e) En l'espèce, l'interprétation que fait la municipalité de son règlement n'apparaît pas insoutenable. Sa pratique d'autoriser des lucarnes dans le mètre supplémentaire prescrit par l'art. 19 al. 3 RCAT peut par conséquent être admise. f) Le recours doit dès lors être rejeté sur ce point.</w:t>
      </w:r>
    </w:p>
    <w:p>
      <w:r>
        <w:rPr>
          <w:b/>
        </w:rPr>
        <w:t>E. 6</w:t>
      </w:r>
    </w:p>
    <w:p>
      <w:r>
        <w:t>Compte tenu de l'ampleur du projet (volume SIA), le spécialiste doit être choisi parmi ceux inscrits sur la liste ECA, disponible sous www.eca-vaud.ch , rubrique dangers naturels.</w:t>
      </w:r>
    </w:p>
    <w:p>
      <w:r>
        <w:rPr>
          <w:b/>
        </w:rPr>
        <w:t>E. 7</w:t>
      </w:r>
    </w:p>
    <w:p>
      <w:r>
        <w:t>Les mesures doivent impérativement être définies avant le début des travaux.</w:t>
      </w:r>
    </w:p>
    <w:p>
      <w:r>
        <w:rPr>
          <w:b/>
        </w:rPr>
        <w:t>E. 8</w:t>
      </w:r>
    </w:p>
    <w:p>
      <w:r>
        <w:t>Toutes les mesures définies par le spécialiste doivent être réalisées. Celui-ci pourra notamment se référer à la recommandation "Protection des objets contre les dangers naturels gravitationnels" publiée par l'AEAl.</w:t>
      </w:r>
    </w:p>
    <w:p>
      <w:r>
        <w:rPr>
          <w:b/>
        </w:rPr>
        <w:t>E. 9</w:t>
      </w:r>
    </w:p>
    <w:p>
      <w:r>
        <w:t>La norme SIA 261/1 précisant les charges à prendre en compte pour le calcul de la structure porteuse doit être appliquée (chapitre 4 "Glissements de terrain, coulées de boues et crues").</w:t>
      </w:r>
    </w:p>
    <w:p>
      <w:r>
        <w:rPr>
          <w:b/>
        </w:rPr>
        <w:t>E. 10</w:t>
      </w:r>
    </w:p>
    <w:p>
      <w:r>
        <w:t>Les dispositions des points 4 à 9 ne sont pas des conditions préalables à la délivrance du permis de construire mais des conditions préalables à la délivrance du permis d'habiter / utiliser selon article 3 du règlement d'application de la loi sur la protection des incendies et éléments naturels (LPIEN)." Ainsi, il ressort des conclusions de l'ECA figurant dans la synthèse CAMAC que la parcelle 5856 est répertoriée en zone de danger de glissements de terrain permanent, mais que – contrairement à ce que prétendent les recourants - le niveau de danger est faible (cf. point 3 de la synthèse CAMAC). En outre, l'ECA a exigé l'établissement d'un rapport géotechnique, lequel devra être adressé à la municipalité avant le début des travaux (cf. point 2 du permis de construire). Enfin - condition à la délivrance du permis d'habiter (cf. point 10 de la synthèse CAMAC) -, la municipalité vérifiera que les mesures préconisées par les géotechniciens auront été prises. Par ailleurs, au vu de la jurisprudence citée ci-dessus, c'est à juste titre que la municipalité n'a pas requis une expertise géotechnique avant de délivrer le permis de construire. S'agissant de l'expertise, comme l'architecte l'a relevé lors de l'audience: les géotechniciens effectueront des sondages à l'endroit du bâtiment projeté, à une profondeur équivalente à la hauteur du sous-sol, afin d'obtenir une cartographie exacte de la composition du sol; c'est sur la base de ces résultats que ces spécialistes décideront des mesures à prendre avant de débuter les travaux. Quant au contrôle des mesures constructives qui devront être prises, il sera assuré par la municipalité. S'agissant de la crainte des recourants que, comme cela a été le cas lors de la construction de la parcelle 4117, leurs parcelles subissent des dommages du fait des travaux, on relève qu'à la différence de cette situation antérieure décrite, ici, la parcelle 5856 est située en-dessous des parcelles des recourants; en outre, elle en est séparée par le chemin de ********. Enfin, en prétendant que le risque de danger sur la parcelle 5856 a été qualifié de fort par l'ECA, les recourants se prévalent d'indications figurant dans un formulaire-type de l'ECA complété par l'architecte du projet et versé au dossier d'enquête. Il s'agit d'un document intitulé "Construction en zone de glissement de terrain – Formulaire 43-GT (v10/07) en vue de la délivrance de l'autorisation spéciale requise selon article 120 LATC pour les constructions nouvelles". Y figurent différentes questions relatives au terrain (niveau de connaissance de la parcelle en matière géotechnique, niveau de danger lié à l'instabilité du terrain, vulnérabilité du terrain). En page 4, l'architecte a répondu à des questions au sujet du niveau de danger lié à l'instabilité du terrain. Au vu du nombre de points (58) obtenus par les réponses aux questions, le niveau de danger lié à l'instabilité du terrain est qualifié de "fort". Or, on relève tout d'abord qu'au vu du nombre de points (58), c'est de "moyen" que le danger devrait être qualifié (en effet, le danger est qualifié de "faible" si le nombre de points est plus grand que 70, de "moyen" s'il est entre 70 et 40 et de "fort" s'il est plus petit que 40), mais, de toute façon, les indications figurant dans un formulaire complété comme en l'espèce par l'architecte ne sauraient prévaloir sur les conclusions émises par l'ECA et reprises dans la synthèse CAMAC selon lesquelles le danger est faible. d) Le recours doit par conséquent être rejeté sur ce point. e) Au vu de ce qui précède, l'argument des recourants selon lequel, dès lors que la parcelle 5856 est exposée à un fort danger de glissements de terrains, elle devrait être dézonée en application de la mesure A12 PDCn (qui prévoit notamment que l e redimensionnement des zones à bâtir s'effectue par le déclassement des terrains menacés par des dangers ou exposés à des nuisances graves pour la population, l'environnement ou les biens de valeur), tombe. 7. a) Les recourants font valoir que, bien que la Commission consultative de Lavaux ait émis un préavis positif, le projet ne s'intégrera pas au site. Dans un rapport du 12 octobre 2015 établi en application de l’art. 5a de la loi du 12 février 1979 sur le plan de protection de Lavaux (LLAvaux; RSV 701.43), la Commission consultative de Lavaux a effectivement émis un préavis positif. Elle a relevé que le projet avait évolué favorablement dès lors que – suite à sa demande - le porte-à-faux sis côté lac et le balcon-baignoire prévus avaient été supprimés, que les surfaces vitrées avaient été diminuées, enfin que l'emplacement des panneaux solaires avait été modifié. Elle a par ailleurs suggéré qu'au vu de la pente de la parcelle et pour permettre de maintenir la surface de vigne devant la maison, un muret de type vigne soit réalisé en contrebas de la maison à la hauteur du balcon, afin de réduire la pente. b)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règlement communal prévoit quant à lui à son art. 24 que sont interdites toutes constructions de nature à compromettre l'aspect ou le caractère d'un site, d'une localité, d'un quartier ou d'une rue, ou à nuire à l'aspect d'un édifice de valeur historique, artistique ou pittoresque. Selon la jurisprudence du Tribunal fédéral (TF 1C_520/2012 du 30 juillet 2013 consid. 2.2; 1C_450/2008 précité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c) Les recourants font valoir que le projet, de par sa volumétrie, sa hauteur, ses façades de plus de 20 mètres de long et ses nombreuses ouvertures, s'apparentera davantage à un "blockhaus" qu'à une villa familiale de type de celles construites dans le quartier, et qu'il détonnera d'autant plus que la parcelle 4121 accueille une maison vigneronne; le projet dénaturera par conséquent le site. Eux-mêmes, situés en amont, seront particulièrement touchés par cet édifice, qui formera un écran devant eux. Ainsi, seule une réduction significative de la hauteur du bâtiment est en mesure de réduire l'impact du projet sur leurs parcelles. d) La zone d'habitation II où est sise la parcelle 5856 s'étend entre, au Nord, l'autoroute et, au Sud, la zone viticole sise en amont du village de Lutry. La parcelle 5856 est située à l'extrême limite Sud de cette zone d'habitation II étendue où sont sises des villas individuelles. Ainsi, si au Nord-Ouest de la parcelle 5856 est effectivement sise une ancienne ferme viticole (le bâtiment ECA 845 sis sur la parcelle 4121), le projet prendra néanmoins place dans un quartier de villas (ou en tout cas dans sa bordure). Par ailleurs, le tribunal a pu constater lors de la vision locale que si les habitations sises au Nord de la parcelle 5856 sont de style classique, une est toutefois de style moderne. Il a également constaté que le faîte de la construction projetée sera légèrement plus bas que celui du bâtiment ECA 845. Enfin, le tribunal souligne le facteur d'intégration que constitue le fait que le pan aval du toit sera parallèle à la pente. Vu ce qui précède, le projet ne pose pas de problème particulier au niveau de l’esthétique et de l’intégration et on ne saurait suivre les recourants lorsqu’ils soutiennent que le nouveau bâtiment dénaturera le site. En tous les cas, la municipalité n’a pas abusé du pouvoir d’appréciation dont elle dispose en la matière. e) Le recours doit par conséquent être rejeté sur ce point. 8. Les considérants qui précèdent conduisent au rejet du recours. Succombant, les recourants supportent les frais du présent arrêt.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