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AC.2016.0305 vom 3. August 2017</w:t>
      </w:r>
    </w:p>
    <w:p>
      <w:r>
        <w:t>VD Tribunal cantonal, 2017-08-03, FR</w:t>
      </w:r>
    </w:p>
    <w:p>
      <w:r>
        <w:rPr>
          <w:b/>
        </w:rPr>
        <w:t xml:space="preserve">Quelle: </w:t>
      </w:r>
      <w:r>
        <w:t>https://mcp.opencaselaw.ch/entscheid/vd_omni_AC.2016.0305</w:t>
      </w:r>
    </w:p>
    <w:p>
      <w:r>
        <w:t>FR: VD_OMNI AC.2016.0305 du 3 août 2017</w:t>
      </w:r>
    </w:p>
    <w:p>
      <w:r>
        <w:t>IT: VD_OMNI AC.2016.0305 del 3 agosto 2017</w:t>
      </w:r>
    </w:p>
    <w:p>
      <w:pPr>
        <w:pStyle w:val="Heading2"/>
      </w:pPr>
      <w:r>
        <w:t>Regeste</w:t>
      </w:r>
    </w:p>
    <w:p>
      <w:r>
        <w:t>A.________ /B.________, C.________, Municipalité de Founex | Permis de construire délivré par la municipalité pour un nouveau bâtiment de six appartements. Création d'une rampe prolongeant celle du parking souterrain de la parcelle adjacente. Accès suffisant dès lors qu'il permet déjà l'accès à un bâtiment. Pas d'entraves pour l'accès des véhicules de secours. Surface des aménagements extérieurs suffisante au regard des exigences du règlement communal. Places de sationnement en nombre suffisant. Pas de violation de la clause d'esthétique compte tenu du large pouvoir d'appréciation dont dispose la municipalité, d'autres bâtiments modernes de même dimension étant déjà construits dans les environs immédiats. Recours rejeté et décision attaquée confirmée.</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 loi du 4 décembre 1985 sur l'aménagement du territoire et les constructions (LATC, RSV 700.11), la décision attaquée n’est pas susceptible de recours devant une autre autorité. La Cour de droit administratif et public du Tribunal cantonal est dès lors compétente. Propriétaire d'une parcelle directement voisine de celle sur laquelle le projet litigieux est prévu, le recourant, qui a participé à la procédure devant la municipalité, peut faire valoir un intérêt digne de protection à l'annulation de la décision attaquée (art. 75 al. 1 let. a  et 99 LPA-VD). Remis à un bureau de poste suisse à l'adresse de l'autorité compétente dans le délai légal de 30 jours dès la notification de la décision attaquée compte tenu des féries (art. 95 et 96 al. 1 let. b LPA-VD), le recours a été déposé en temps utile et répond pour le surplus aux autres exigences formelles posées par la loi (art. 79 LPA-VD par renvoi de l’art. 99 LPA-VD), si bien qu’il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 recourant considère que le nombre des places de stationnement prévues serait insuffisant en invoquant une violation de l'art. 49 RPGA prévoyant au minimum une place de stationnement et un garage par logement de trois pièces et plus. Ce faisant, le recourant perd de vue que, pour la zone village, l'art. 3.15 RPGA contient une disposition spéciale se référant à l'art. 40a RLATC et prévoyant que la municipalité fixe le nombre de places de stationnement pour voitures et pour deux-roues non motorisés dans le respect des normes de l'Association suisse des professionnels de la route et des transports (VSS) en vigueur. Selon la norme VSS 640.281, version du 1 er décembre 2013, l'offre en cases de stationnement doit correspondre à une case de stationnement par 100 m 2 de surface brute de plancher ou une case de stationnement par appartement pour les habitants et 10% de ce nombre pour les visiteurs (ch. 9.1). En l'espèce, le bâtiment projeté aura une surface brute de plancher de 678,9 m 2 et comprendra six appartements. Dès lors qu'il est prévu de créer cinq places de parc dans l'extension du garage souterrain, et six places de stationnement en extérieur, dont trois pour les visiteurs, les exigences de la norme VSS sont respectées. Cet argument doit être rejeté.</w:t>
      </w:r>
    </w:p>
    <w:p>
      <w:r>
        <w:rPr>
          <w:b/>
        </w:rPr>
        <w:t>E. 6</w:t>
      </w:r>
    </w:p>
    <w:p>
      <w:r>
        <w:t>Selon le recourant, le nouveau bâtiment ne s'inscrirait pas dans le développement harmonieux du village, ce qui constituerait une violation de la clause d'esthétique. Il reproche en particulier aux constructeurs d'implanter leur projet dans le jardin de la maison paysanne située sur la Grand'Rue et de rompre l'harmonie des maisons anciennes qui disposent d'un jardin en longueur permettant de conserver une vue sur le lac. a)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39 al. 1 RPGA prévoit que la municipalité prend toutes les mesures propres à éviter l'enlaidissement du territoire communal; elle veille à ce que les transformations ou constructions nouvelles s'harmonisent avec les constructions existantes, notamment quant à leur forme, les dimensions, les teintes, et les détails de construction. Selon la jurisprudence du Tribunal fédéral (TF arrêts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arrêt 1C_493/2016 du 30 mai 2017 consid. 2.2 et les références citées). Enfin, on relèvera que, selon la jurisprudence (CDAP arrêts AC.2016.0055 du 6 décembre 2016 consid. 3b; AC.2015.0153 du 15 septembre 2016 consid. 2c; AC.2015.0135 du 22 mars 2016 consid. 3a; AC.2009.0209 du 26 mai 2010 consid. 2b), l'attribution de la note *3* au recensement architectural prévu par l'art. 26 du règlement du 22 mars 1989 d'application de la loi du 10 décembre 1969 sur la protection des monuments et des sites (RLPNMS; RSV 450.11.1) ne confère aucune protection particulière allant au-delà de la clause d'esthétique prévue par l'art. 86 LATC et des éventuelles dispositions communales en matière de protection des bâtiments. c) En l'espèce, le tribunal considère que la municipalité n'a pas violé le large pouvoir d'appréciation qui lui est reconnu en la matière. Certes, le projet de construction litigieux sera relativement imposant et utilise presque au maximum les possibilités de bâtir offertes par le règlement communal. Il s'inscrit toutefois dans un environnement déjà largement bâti. En outre, dès lors que le bâtiment se situe en contrebas de la Grand'Rue en direction du lac, il ne sera pour l'essentiel pas visible depuis cette dernière si bien que l'effet de rue des anciennes maisons villageoises sera préservé. Quant au bâtiment ECA n°22, par ailleurs propriété des constructeurs, il reste préservé par le projet de construction litigieux. On relèvera à cet égard qu'un autre bâtiment d'habitation (ECA n°1654b) a déjà été érigé entre la "maison de maître" et le projet litigieux soit dans l'espace qui constituait auparavant le jardin des anciennes maisons villageoises. Le tribunal a en outre pu constater lors de l'inspection locale la présence sur les parcelles voisines (n°1350, 1351, 1352, 1353 et 1402) de plusieurs bâtiments récents d'apparence moderne et de dimensions comparables à celles du projet litigieux. Ces bâtiments sont tous situés en contrebas des anciennes maisons villageoises. On peut donc considérer que, même s'il s'agit d'une construction supplémentaire, l'aspect général du village de Founex ne sera pas compromis si le projet litigieux est réalisé. En conclusion, la décision attaquée doit être confirmée sur ce point également.</w:t>
      </w:r>
    </w:p>
    <w:p>
      <w:r>
        <w:rPr>
          <w:b/>
        </w:rPr>
        <w:t>E. 7</w:t>
      </w:r>
    </w:p>
    <w:p>
      <w:r>
        <w:t>Mal fondé, le recours doit être rejeté. Le recourant, qui succombe, supportera un émolument de justice (art. 49 LPA-VD). En outre, il versera à l'autorité intimée ainsi qu'aux constructeurs, qui ont l'un comme l'autre procédé par l'intermédiaire d'un mandataire professionnel, une indemnité à titre de dépens qu'il convient de fixer à 3'000 fr. (art. 55 LPA-VD et art. 10 et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