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AC.2016.0301 vom 21. April 2017</w:t>
      </w:r>
    </w:p>
    <w:p>
      <w:r>
        <w:t>VD Tribunal cantonal, 2017-04-21, FR</w:t>
      </w:r>
    </w:p>
    <w:p>
      <w:r>
        <w:rPr>
          <w:b/>
        </w:rPr>
        <w:t xml:space="preserve">Quelle: </w:t>
      </w:r>
      <w:r>
        <w:t>https://mcp.opencaselaw.ch/entscheid/vd_omni_AC.2016.0301</w:t>
      </w:r>
    </w:p>
    <w:p>
      <w:r>
        <w:t>FR: VD_OMNI AC.2016.0301 du 21 avril 2017</w:t>
      </w:r>
    </w:p>
    <w:p>
      <w:r>
        <w:t>IT: VD_OMNI AC.2016.0301 del 21 aprile 2017</w:t>
      </w:r>
    </w:p>
    <w:p>
      <w:pPr>
        <w:pStyle w:val="Heading2"/>
      </w:pPr>
      <w:r>
        <w:t>Regeste</w:t>
      </w:r>
    </w:p>
    <w:p>
      <w:r>
        <w:t>A.________, B.________, C.________, D.________, E.________/Municipalité de Gilly, F.________ SA | Projet de construction d'un immeuble de 6 logements dans la zone village d'une commune dont la zone à bâtir est largement surdimensionnée et dont la planification est en cours de révision. - La parcelle concernée se trouve au centre du village, dans le voisinage de parcelles construites, et rien ne permet de déduire qu'elle se prêterait à un "dézonage" dans le cadre de la réduction de la zone constructible fondée sur la LAT (consid. 1 et 2). - L'accès ne présente actuellement aucun danger pour la sécurité routière et le chemin existant pourra absorber le trafic supplémentaire (consid. 3). Recours rejeté.</w:t>
      </w:r>
    </w:p>
    <w:p>
      <w:pPr>
        <w:pStyle w:val="Heading2"/>
      </w:pPr>
      <w:r>
        <w:t>Erwägungen</w:t>
      </w:r>
    </w:p>
    <w:p>
      <w:r>
        <w:rPr>
          <w:b/>
        </w:rPr>
        <w:t>E. 1</w:t>
      </w:r>
    </w:p>
    <w:p>
      <w:r>
        <w:t>Il n'est pas contesté que les zones à bâtir de la Commune de Gilly sont surdimensionnées et qu'elles devront être réduites. Les recourants en déduisent qu'aucun permis de construire ne peut plus être délivré sur la base du PGA actuel, qui doit être révisé sur la base de l'art. 21 al. 2 de la loi fédérale du 22 juin 1979 sur l'aménagement du territoire (LAT; RS 700), selon lequel lorsque les circonstances se sont sensiblement modifiées, les plans d'affectation feront l'objet des adaptations nécessaires. Les recourants invoquent à cet égard une modification récente de la LAT. Il n'est pas nécessaire de déterminer si l'entrée en vigueur des nouvelles dispositions de la LAT impose une adaptation immédiate de la planification communale ni dans quelle mesure la conformité du plan à la LAT doit être contrôlée par la cour de céans, dès lors que la planification communale est en cours de révision. En 2015,  la municipalité a entamé à juste titre une procédure de révision du Plan des zones de 1985 en vue d'un redimensionnement des zones à bâtir. Par avis publié dans la Feuille des avis officiels du 2 septembre 2016, la municipalité a informé les propriétaires fonciers que la révision du plan général d'affectation (PGA) était en cours afin de mettre celui-ci en conformité avec la LAT et le Plan directeur cantonal PDCn) et qu'elle se réservait dès lors le droit de refuser tout projet qui contreviendrait aux dispositions envisagées par la planification de la révision du PGA. Il convient donc d'examiner si le projet de construction incriminé mis à l'enquête publique du 15 août au 13 septembre 2015 – soit avant la publication de l'avis susmentionné – devait ou non être refusé en application de l'art. 15 LAT et de l’art. 77 de la loi vaudoise du 4 décembre 1985 sur l'aménagement du territoire et les constructions (LATC; RSV 700.11).</w:t>
      </w:r>
    </w:p>
    <w:p>
      <w:r>
        <w:rPr>
          <w:b/>
        </w:rPr>
        <w:t>E. 1.1</w:t>
      </w:r>
    </w:p>
    <w:p>
      <w:r>
        <w:t>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1C_568/2014 - 1C_576/2014 du 13 janvier 2016 consid. 7.2; Message, FF 2010 959, ch. 1.1 p. 963, ch. 2.3.4 p. 980, ch. 2.6 p. 987 et ch. 3.2 p. 988). Les dispositions transitoires du nouveau droit sont prévues par l'art. 38a LAT, qui  impose aux cantons d'adapter leurs plans directeurs à l'art. 8a al. 1 LAT dans les cinq ans – à savoir jusqu'au 1 er mai 2019 –  (al. 1) et prévoit que la surface totale des zones à bâtir légalisées ne doit pas augmenter dans le canton concerné jusqu’à l’approbation du plan directeur cantonal adapté en conformité avec l’art. 8a LAT (al. 2; voir aussi les art. 5a al. 4 et 52a de l'ordonnance du Conseil fédéral du 2 avril 2014 entrée en vigueur le 1 er mai suivant). b) Au niveau cantonal, le Plan directeur cantonal (PDCn) entré en vigueur le 1 er août 2008 a incité les communes, dont les réserves en zone à bâtir dépassaient au moins deux fois les besoins pour les 15 années suivant l'entrée en vigueur du plan, à modifier leur PGA dans un délai échéant le 31 juillet 2018, dans le sens d'une réduction des zones à bâtir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Les adaptations ont ainsi confirmé, avant même l’entrée en vigueur des modifications de la LAT le 1 er mai 2014, la volonté des autorités cantonale portant sur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œuvre de la Loi sur l'aménagement du territoire (LAT) révisée. Réponses aux principales questions concernant la période transitoire",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Gilly, sont surdimensionnées. En octobre 2015, le canton a édicté de nouvelle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15 années suivant l'entrée en vigueur du plan (mesures A11 et A12). Enfin, l'avant-projet de la 4 e adaptation du PDCn a été mis en consultation publique du 18 janvier au 26 février 2016 et une version remaniée, validée par le Conseil d'Etat, a été transmise au Grand Conseil en automne 2016 pour adoption. Selon la mesure A11 de cet avant-projet, les communes qui doivent redimensionner leurs zones à bâtir devront réviser leurs plans d'affectation et soumettre leur projet à l'approbation du canton au plus tard le 30 juin 2021. Le 18 janvier 2016, le canton a établi des fiches techniques d'aide à l'application du redimensionnement des zones à bâtir. Il en découle en particulier que les communes sont incitées, dans l'optique de la 4 e adaptation du PDCn, à dézoner en priorité les réserves excédentaires situées hors du territoire urbanisé, le reste du territoire communal devant faire l'objet d'une analyse fine du redimensionnement à réaliser à l'intérieur du territoire urbanisé (fiche 9). c) L'art. 77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(arrêt AC.2006.0036 du 20 décembre 2006 consid. 3b). L'art. 77 LATC n'est pas une disposition impérative. Il confère seulement à la municipalité la faculté de refuser le permis de construire (arrêt AC.2014.0389 du 15 décembre 2015 consid. 1a, et les arrêts cités). La municipalité dispose ainsi d'un large pouvoir d'appréciation, au point qu’elle peut délivrer le permis de construire alors même que le projet serait contraire à la réglementation future envisagée (arrêt AC.2007.0320 du 29 septembre 2008 consid. 11). d) En l'occurrence, il est vrai qu’à la suite de la modification de la LAT entrée en vigueur le 1 er mai 2014, la Commune de Gilly devra réduire ses zones à bâtir, qui sont pour l'heure surdimensionnées. Il n'y a toutefois pas lieu de présumer des choix à venir du planificateur communal quant à l'identification des surfaces qui devront être déclassées cas échéant. Cette question relève en effet exclusivement de la procédure de planification et n'a pas sa place dans la procédure de permis de construire (arrêts AC.2016.0216 du 8 février 2017 consid. 2d; AC.2014.0389 du 15 décembre 2015 consid. 1b). Ainsi, la modification de la LAT du 15 juin 2012 ne remet a priori pas en cause le droit des propriétaires d'obtenir un permis de construire pour un projet conforme à un plan en vigueur (ibidem; cf. aussi arrêt AC.2014.0354 du 21 juin 2016, et les références citées). L'inspection locale a permis de constater que la parcelle litigieuse – qui fait partie du milieu largement bâti  – se trouve au centre du village, soit à l'intérieur de la zone de centre. L'arrêt de bus et le cœur du village constitué par l'administration communale, l'auberge et l'épicerie ne se situent qu'à une centaine de mètres à vol d'oiseau du bien-fonds en cause. Au vu de ces éléments, le tribunal relève que le projet litigieux ne prend pas place hors du territoire urbanisé.  Cette parcelle ne saurait donc être visée par les mesures de réduction de la zone à bâtir. Pour ces différentes raisons, la délivrance du permis de construire n'apparaît pas contraire ni à la nouvelle LAT, ni à l’art. 77 LATC, étant précisé que les communes sont incitées à dézoner en priorité les réserves excédentaires de zones à bâtir situées hors du territoire urbanisé. En résumé, même si la dernière révision de la LAT a pour finalité de mettre un frein au mitage du territoire, notamment par la réduction des zones à bâtir surdimensionnées (art. 15 al. 2 LAT; cf.  FF 2010 959 p. 960), les recourants perdent de vue que ce but doit en principe être atteint par l'adaptation des plans directeurs cantonaux aux prescriptions fédérales (Message p. 966), dans un délai de cinq ans à compter de l'entrée en vigueur de la révision; dans l'intervalle, elles ne prohibent en revanche pas la mise en oeuvre d'une planification conforme à la LAT. Il est constant que la parcelle n° 914 est affectée à la zone à bâtir. Rien au dossier ne permet de déduire que cette parcelle se prêterait à un "dézonage", dans le cadre de la réduction de la zone constructible de la commune intimée; en effet ce bien-fonds se trouve dans le voisinage de parcelles construites. Elle est située en outre à proximité immédiate du centre du village, notamment du bâtiment abritant l'administration communale, et de la desserte en transports publics composée de trois lignes (Etude Transitec, p. 7). Dans ces circonstances, l'affectation de la parcelle n° 914 à la zone à bâtir n'apparaît pas d'emblée contraire aux principes de concentration de l'urbanisation et de densification du milieu bâti poursuivis par la LAT (cf. art. 1 LAT; voir également Message p. 984) et répond de surcroît à un besoin concret de la constructrice (cf. notamment arrêt TF, 1C_342/2015 du 9 décembre 2015 consid. 5.2).</w:t>
      </w:r>
    </w:p>
    <w:p>
      <w:r>
        <w:rPr>
          <w:b/>
        </w:rPr>
        <w:t>E. 2</w:t>
      </w:r>
    </w:p>
    <w:p>
      <w:r>
        <w:t>a) La nouvelle loi fédérale du 15 juin 2012 révisant la LAT, entrée en vigueur le 1 er mai 2014 (RO 2014 p. 899 ss), a en particulier modifié l’art. 15 LAT. Celui-ci prévoit que les zones à bâtir sont définies de telle manière qu'elles répondent aux besoins prévisibles pour les quinze années suivantes (al. 1) et que les zones à bâtir surdimensionnées doivent être réduites (al. 2). La nouvelle réglementation fédérale a également introduit un art. 8a LAT selon lequel, dans le domaine de l'urbanisation, le plan directeur cantonal définit notamment la manière d'assurer la conformité des zones à bâtir aux conditions de l'art. 15 (al. 1 let. d). Avec ces modifications, le législateur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w:t>
      </w:r>
    </w:p>
    <w:p>
      <w:r>
        <w:rPr>
          <w:b/>
        </w:rPr>
        <w:t>E. 3</w:t>
      </w:r>
    </w:p>
    <w:p>
      <w:r>
        <w:t>Les recourants soutiennent que l’accès au garage projeté par le chemin de Saint-Vincent serait dangereux et peu adapté.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AC.2012.0054 du 6 mars 2013 consid. 13; AC.2012.0298 du 7 août 2013 consid. 3). b) En l'occurrence, le garage souterrain prévu pour une vingtaine de véhicules est raccordé au chemin de Saint-Vincent, dont la charge de trafic est  très faible (cf. Etude Transitec, p. 8). Cette voie publique ne présente qu'une largeur de 3,5 m environ (y compris les accotements dénivelés). Bien que le croisement de deux véhicules automobiles y soit très difficile, ce chemin – qui est rectiligne et en faible pente – offre une très bonne visibilité, notamment au débouché sur le chemin du Bourguignon, situé à seulement 25 m de l'entrée du garage projeté. Un élargissement de 1,5 m dudit chemin et la mise en place d'une zone 30 km/h sont prévus, ce qui permettra de croiser plus facilement et d'améliorer la fluidité du trafic. Mais l'étroitesse d'une voie de circulation peut aussi assurer indirectement – comme c'est le cas en l'espèce – le ralentissement du trafic et, par voie de conséquence, la sécurité des usagers de la route (cf. notamment TF 1C_148/2009 du 29 juillet 2009 consid. 4.2, in RDAF 2010 I 83). Quoi qu'en disent les recourants, l'inspection locale a permis de constater qu'en  l'état actuel des choses, le chemin en question ne présentait aucun danger pour la sécurité routière. D'ailleurs plusieurs riverains – dont les recourants D.________ et E.________ – empruntent déjà cette desserte routière en toute sécurité. A l'évidence, le trafic automobile supplémentaire induit par le projet litigieux pourra être absorbé par le réseau routier du quartier, indépendamment du futur élargissement du chemin de Saint-Vincent. On ne voit aucun motif de considérer que la parcelle de la constructrice ne disposerait pas d'un équipement routier conforme au droit fédéral. Il est au contraire manifeste que ce chemin d’accès est suffisant au regard de l'art. 19 LAT, tant sur le plan juridique que technique, et que son utilisation comme voie de desserte pour le quartier d'habitation ne sera pas compromise après la construction en particulier du bâtiment projeté.</w:t>
      </w:r>
    </w:p>
    <w:p>
      <w:r>
        <w:rPr>
          <w:b/>
        </w:rPr>
        <w:t>E. 4</w:t>
      </w:r>
    </w:p>
    <w:p>
      <w:r>
        <w:t>Vu ce qui précède, le recours doit être rejeté et les décisions entreprises confirmées. Succombant, les recourants sont tenus de supporter un émolument judiciaire, ainsi que des dépens à allouer à l'autorité intimée, assistée par un mandataire professionnel (49 et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