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AC.2016.0185 vom 17. Februar 2017</w:t>
      </w:r>
    </w:p>
    <w:p>
      <w:r>
        <w:t>VD Tribunal cantonal, 2017-02-17, FR</w:t>
      </w:r>
    </w:p>
    <w:p>
      <w:r>
        <w:rPr>
          <w:b/>
        </w:rPr>
        <w:t xml:space="preserve">Quelle: </w:t>
      </w:r>
      <w:r>
        <w:t>https://mcp.opencaselaw.ch/entscheid/vd_omni_AC.2016.0185</w:t>
      </w:r>
    </w:p>
    <w:p>
      <w:r>
        <w:t>FR: VD_OMNI AC.2016.0185 du 17 février 2017</w:t>
      </w:r>
    </w:p>
    <w:p>
      <w:r>
        <w:t>IT: VD_OMNI AC.2016.0185 del 17 febbraio 2017</w:t>
      </w:r>
    </w:p>
    <w:p>
      <w:pPr>
        <w:pStyle w:val="Heading2"/>
      </w:pPr>
      <w:r>
        <w:t>Regeste</w:t>
      </w:r>
    </w:p>
    <w:p>
      <w:r>
        <w:t>A.________, B.________/Municipalité d'Avenches, Service du développement territorial, Direction générale de l'environnement DGE-DIRNA | Est litigieuse la question de savoir si la parcelle des recourants est colloquée en zone à bâtir. Sur la base notamment de la vérification effectuée par l'assesseur spécialisé géomètre du tribunal, il y a lieu de constater que seule une petite partie de la parcelle est colloquée en zone à bâtir par le PGA communal en vigueur. S'agissant de l'historique de l'adoption de ce PGA, l'ancien propriétaire s'était opposé à une première version du PGA qui colloquait une partie de sa parcelle en zone agricole. Le Conseil communal avait donné suite à cette opposition en étendant la zone de villas.Cette extension n'a toutefois été faite que jusqu'au périmètre indicatif de la zone forestière. C'est à juste titre que le SDT a constaté que la plus grande partie du projet de construction des recourants se situait en dehors de la zone à bâtir, qu'il a refusé l'autorisation spéciale cantonale requise pour les constructions hors de la zone à bâtir et que la municipalité a refusé de délivrer le permis de construire. Les assurances dont se prévalent les recourants quant à la constructibilité de leur parcelle ont été données par un employé communal et par un inspecteur forestier. Aucune assurance n'a en revanche été donnée par l'autorité cantonale compétente pour délivrer une autorisation de construire en dehors de la zone à bâtir. Partant, une des conditions pour que les recourants puissent se prévaloir du principe de la bonne foi n'est pas remplie.</w:t>
      </w:r>
    </w:p>
    <w:p>
      <w:pPr>
        <w:pStyle w:val="Heading2"/>
      </w:pPr>
      <w:r>
        <w:t>Erwägungen</w:t>
      </w:r>
    </w:p>
    <w:p>
      <w:r>
        <w:rPr>
          <w:b/>
        </w:rPr>
        <w:t>E. 1</w:t>
      </w:r>
    </w:p>
    <w:p>
      <w:r>
        <w:t>Interjeté en temps utile (art. 95 et 19 al. 2 de la loi vaudoise du 28 octobre 2008 sur la procédure administrative [ LPA-VD; RSV 173.36 ] ),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recourants demandent qu'il soit procédé à  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les pièces permettant de déterminer si la parcelle n° 2697 se trouve en zone constructible et une vision locale n'est pas susceptible d'apporter des éléments supplémentaires pertinents à cet égard. Pour le reste, les parties ont pu faire valoir leurs arguments lors de l'échange d'écritures intervenu dans la présente procédure. Il y a dès lors lieu de rejeter la requête tendant à ce qu'il soit procédé à une inspection locale.</w:t>
      </w:r>
    </w:p>
    <w:p>
      <w:r>
        <w:rPr>
          <w:b/>
        </w:rPr>
        <w:t>E. 3</w:t>
      </w:r>
    </w:p>
    <w:p>
      <w:r>
        <w:t>Sur le fond, est litigieuse la question de savoir si la parcelle n°2697 est colloquée en zone à bâtir. Contrairement à ce que soutiennent les recourants, n'est en revanche pas déterminante la question de savoir si la parcelle en question fait partie de l'aire forestière (à savoir si, et dans quelle mesure, le bien-fonds doit être considéré comme forêt en application de la législation forestière). En l'espèce, la délimitation précise de l'aire forestière est en effet sans conséquence sur l'étendue de la zone à bâtir. Comme le relève le SDT, une diminution de l'aire forestière par rapport à celle qui figure sur le PGA de 1986 ne saurait ainsi avoir pour conséquence une extension de la zone à bâtir, seule une mesure de planification en application des art. 56 ss LATC pouvant modifier la limite entre zones constructibles et celles qui ne le sont pas. a) En l'occurrence, sur la base notamment de la vérification effectuée par l'assesseur spécialisé géomètre du tribunal, il y a lieu de constater que seule une petite partie de la parcelle n°2697 est colloquée en zone à bâtir (zone de villas figurant en jaune) par le PGA communal en vigueur (soit le PGA de 1986). S'agissant de l'historique de l'adoption de ce PGA, on peut relever que l'ancien propriétaire s'était opposé à une première version du PGA (soumise à l'enquête publique en 1981) qui colloquait une partie de sa parcelle en zone agricole. Le Conseil communal avait donné suite à cette opposition en étendant la zone de villas. Comme l'a confirmé la municipalité dans ses déterminations du 30 novembre 2016 et ainsi que cela ressort du PGA finalement adopté, cette extension n'a toutefois été faite que jusqu'au périmètre indicatif de la zone forestière. L'examen du PGA de 1986 tend au surplus à confirmer que la partie de la parcelle n°2697 correspondant à l'aire forestière se situe en zone agricole puisqu'elle figure sur le plan en gris, comme la zone agricole A. b) Vu ce qui précède c'est à juste titre que le SDT a constaté que la plus grande partie du projet de construction des recourants se situait en dehors de la zone à bâtir et nécessitait par conséquent une autorisation cantonale en application des art. 25 al. 3 LAT et 120 al. 1 let. a LATC. Il n'est au surplus pas contesté que la villa familiale projetée ne peut pas être autorisée en dehors de la zone à bâtir comme conforme à la zone ou à titre dérogatoire en application des art. 24 ss LAT. Partant, c'est à juste titre que le SDT  a refusé l'autorisation spéciale cantonale requise pour les constructions hors de la zone à bâtir et que la municipalité a refusé de délivrer le permis de construire.</w:t>
      </w:r>
    </w:p>
    <w:p>
      <w:r>
        <w:rPr>
          <w:b/>
        </w:rPr>
        <w:t>E. 4</w:t>
      </w:r>
    </w:p>
    <w:p>
      <w:r>
        <w:t>Les recourants invoquent une violation du principe de la bonne foi. Ils mentionnent à cet  égard un courriel du Chef du Service technique de la commune du 13 juin 2014 leur indiquant que leur parcelle se trouvait en zone de villas. Ils mentionnent également un courrier de l'inspecteur forestier du 6 octobre 2014 dont il ressort qu'une construction sur leur parcelle était possible.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de la Constitution fédérale de la Confédération suisse du 18 avril 1999 (Cst.; RS 101)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En l'espèce, on constate que les assurances dont se prévalent les recourants ont été données par un employé communal et par un inspecteur forestier. Aucune assurance n'a en revanche été donnée par l'autorité cantonale compétente pour délivrer une autorisation de construire en dehors de la zone à bâtir. Partant, une des conditions pour que les recourants puissent se prévaloir du principe de la bonne foi n'est pas remplie.</w:t>
      </w:r>
    </w:p>
    <w:p>
      <w:r>
        <w:rPr>
          <w:b/>
        </w:rPr>
        <w:t>E. 5</w:t>
      </w:r>
    </w:p>
    <w:p>
      <w:r>
        <w:t>Il résulte de ce qui précède que le recours doit être rejeté et les décisions attaquées confirmées. Vu le sort du recours, les frais de la cause sont mis à la charge des recourants. Il n'y a pas lieu d'allouer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