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AC.2016.0099 vom 15. Mai 2019</w:t>
      </w:r>
    </w:p>
    <w:p>
      <w:r>
        <w:t>VD Tribunal cantonal, 2019-05-15, FR</w:t>
      </w:r>
    </w:p>
    <w:p>
      <w:r>
        <w:rPr>
          <w:b/>
        </w:rPr>
        <w:t xml:space="preserve">Quelle: </w:t>
      </w:r>
      <w:r>
        <w:t>https://mcp.opencaselaw.ch/entscheid/vd_omni_AC.2016.0099</w:t>
      </w:r>
    </w:p>
    <w:p>
      <w:r>
        <w:t>FR: VD_OMNI AC.2016.0099 du 15 mai 2019</w:t>
      </w:r>
    </w:p>
    <w:p>
      <w:r>
        <w:t>IT: VD_OMNI AC.2016.0099 del 15 maggio 2019</w:t>
      </w:r>
    </w:p>
    <w:p>
      <w:pPr>
        <w:pStyle w:val="Heading2"/>
      </w:pPr>
      <w:r>
        <w:t>Regeste</w:t>
      </w:r>
    </w:p>
    <w:p>
      <w:r>
        <w:t>A.________, B.________, C.________ /Municipalité de Lutry, Direction générale des immeubles et du patrimoine, D.________, E.________ | Portée d'un arrêt de renvoi du Tribunal fédéral: Nouvelle répartition des frais et dépens de l'arrêt cantonal, suite à l'admission par le Tribunal fédéral, du recours formé contre l'arrêt cantonal.</w:t>
      </w:r>
    </w:p>
    <w:p>
      <w:pPr>
        <w:pStyle w:val="Heading2"/>
      </w:pPr>
      <w:r>
        <w:t>Erwägungen</w:t>
      </w:r>
    </w:p>
    <w:p>
      <w:r>
        <w:rPr>
          <w:b/>
        </w:rPr>
        <w:t>E. 1</w:t>
      </w:r>
    </w:p>
    <w:p>
      <w:r>
        <w:t>L'objet du présent arrêt est limité aux frais et dépens de la procédure de recours cantonale ayant donné lieu à l'arrêt de la CDAP du 21 mars 2018 (ch.</w:t>
      </w:r>
    </w:p>
    <w:p>
      <w:r>
        <w:rPr>
          <w:b/>
        </w:rPr>
        <w:t>E. 5</w:t>
      </w:r>
    </w:p>
    <w:p>
      <w:r>
        <w:t>du dispositif de l'arrêt du Tribunal fédéral du 23 janvier 2019). 2. A titre liminaire, il convient de rappeler que, dans la procédure devant la CDAP, la jonction des causes AC.2016.0085, AC.2016.0086 et AC.2016.0099 a été prononcée pour des motifs d'économie de procédure exclusivement, les différents groupes de recourants ayant continué à procéder de manière distincte les uns des autres. Or seuls les recourants A.________, B.________ et C.________, parties à la procédure AC.2016.0099, ont recouru devant le Tribunal fédéral. Les autres recourants dans le cadre de la présente procédure, représentés par le même conseil, ont renoncé à procéder devant le Tribunal fédéral, de sorte qu'il est pris acte de leur désistement dans la présente procédure. Quant aux recourants dans les procédures précitées, AC.2016.0085 et AC.2016.0086, les conséquences de l'arrêt du Tribunal fédéral sur leur propre situation a été tranchée par arrêts distincts de ce jour, suite à la disjonction des causes ordonnée le 27 mars 2019. Il convient donc ici de statuer sur le sort des frais de la procédure cantonale ainsi que sur le sort des dépens dans la cause introduite par A.________, B.________ et C.________. 3. a) Selon la loi vaudoise du 28 octobre 2008 sur la procédure administrative (LPA-VD; BLV 173.36), en procédure de recours, les frais sont supportés par la partie qui succombe (art. 49 LPA-VD). Conformément à l'art. 55 LPA-VD, la partie qui obtient totalement ou partiellement gain de cause a droit à une indemnité à titre de dépens en remboursement des frais qu'elle a engagés pour défendre ses intérêts. Cette indemnité est mise à la charge de la partie qui succombe (art. 55 al. 2 LPA-VD). C 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b) En l'occurrence, l'arrêt de la CDAP du 21 mars 2018 ayant été annulé, de même que les décisions municipales, en particulier le permis de construire délivré aux constructeurs, il convient de mettre l'émolument judiciaire à la charge des constructeurs, qui succombent (art. 49 LPA-VD). Cet émolument peut être arrêté à 3'000 fr., à l'instar de ce qui avait été retenu dans l'arrêt du 21 mars 2018. c) Dès lors que les recourants précités obtiennent gain de cause avec l'assistance d'un avocat, ils ont droit à une indemnité à titre de dépens, à la charge des constructeurs qui succombent (art. 55 LPA-VD). Cette indemnité sera fixée conformément au Tarif du 28 avril 2015 des frais judiciaires et des dépens en matière administrative (TFJDA; BLV 173.36.5.1). Elle peut être arrêtée à 3'000 fr., à l'instar de ce qui avait été retenu dans l'arrêt du 21 mars 2018. La Municipalité, qui succombe également,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