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AC.2016.0095 vom 29. November 2016</w:t>
      </w:r>
    </w:p>
    <w:p>
      <w:r>
        <w:t>VD Tribunal cantonal, 2016-11-29, FR</w:t>
      </w:r>
    </w:p>
    <w:p>
      <w:r>
        <w:rPr>
          <w:b/>
        </w:rPr>
        <w:t xml:space="preserve">Quelle: </w:t>
      </w:r>
      <w:r>
        <w:t>https://mcp.opencaselaw.ch/entscheid/vd_omni_AC.2016.0095</w:t>
      </w:r>
    </w:p>
    <w:p>
      <w:r>
        <w:t>FR: VD_OMNI AC.2016.0095 du 29 novembre 2016</w:t>
      </w:r>
    </w:p>
    <w:p>
      <w:r>
        <w:t>IT: VD_OMNI AC.2016.0095 del 29 novembre 2016</w:t>
      </w:r>
    </w:p>
    <w:p>
      <w:pPr>
        <w:pStyle w:val="Heading2"/>
      </w:pPr>
      <w:r>
        <w:t>Regeste</w:t>
      </w:r>
    </w:p>
    <w:p>
      <w:r>
        <w:t>A.________/Municipalité de Perroy, WAVRE | Reprise de la cause à la suite d'un arrêt du TF (1C_340/2015 du 16 mars 2016) annulant un précédent arrêt cantonal (AC.2014.0098 du 20 mai 2015) et renvoyant le dossier à la CDAP pour instruction complémentaire quant à la conformité du projet aux prescriptions de protection incendie applicables à la distance entre bâtiments, respectivement à la nature ignifuge des parois extérieures concernées, puis nouvelle décision. La norme incendie AEAI (complétée par ses directives d'application) prévoit ses propres définitions, critères et prescriptions; l'examen de leur respect ne saurait directement dépendre de la qualification du projet sous l'angle du droit des constructions (s'agissant en particulier de la question de savoir s'il s'agit d'un ou plusieurs bâtiments). En l'espèce, il résulte d'un "concept de protection incendie" produit par le constructrice, dont l'ECA a confirmé le bien-fondé, que la situation doit être examinée sous l'angle des dispositions de protection incendie relatives aux voies d'évacuation horizontales (et non de celles relatives à la distance entre constructions). Le projet respecte les prescriptions de protection incendie dans ce cadre; s'agissant des ouvertures présentes sur les parois concernées, les exigences à respecter sont réputées incluses dans la condition spéciale figurant à cet égard dans le permis de construire. Rejet du recours et confirmation des décisions attaquées (permis de construire et abattage d'arbres).</w:t>
      </w:r>
    </w:p>
    <w:p>
      <w:pPr>
        <w:pStyle w:val="Heading2"/>
      </w:pPr>
      <w:r>
        <w:t>Erwägungen</w:t>
      </w:r>
    </w:p>
    <w:p>
      <w:r>
        <w:rPr>
          <w:b/>
        </w:rPr>
        <w:t>E. 1</w:t>
      </w:r>
    </w:p>
    <w:p>
      <w:r>
        <w:t>er janvier 2015 alors même qu'il serait établi qu'il est en revanche conforme aux dispositions en vigueur depuis lors - de sorte qu'une nouvelle demande de la constructrice portant sur un projet identique devrait être admise -, ce qui serait à l'évidence contraire au principe de l'économie de procédure (lequel commande à l'autorité de mener la procédure de la manière la plus raisonnable possible, en évitant notamment des pertes de temps inutiles; cf. TF, arrêt 2C_84/2012 du 15 décembre 2012 consid. 3.3.4 et les références, non publié aux ATF 139 IV 137). La question de la norme applicable n'a au demeurant qu'un intérêt théorique en l'occurrence, dès lors que, sur le fond, il n'y a " aucune différence " entre les anciennes et les nouvelles dispositions applicables " pour ce projet en particulier ", comme l'a indiqué l'expert AEAI F.________ au ch. 1.1.1 let. a de son " Concept de protection incendie " du 23 mai 2016 (cf. let. E/a s upra ). d) En définitive, il n'y a ainsi pas lieu de revenir sur la question de savoir si et dans quelle mesure, sous l'angle du droit des constructions, le projet litigieux est réputé constitué d'un seul bâtiment ou de deux bâtiments distincts (consid. 1a); il convient bien plutôt d'apprécier la conformité du projet à la nouvelle norme AEAI (1-15) et à ses directives d'application (consid. 1c), au vu notamment des expertises produites par la constructrice en cours de procédure et des avis de l'ECA à leur propos (consid. 1b).</w:t>
      </w:r>
    </w:p>
    <w:p>
      <w:r>
        <w:rPr>
          <w:b/>
        </w:rPr>
        <w:t>E. 2</w:t>
      </w:r>
    </w:p>
    <w:p>
      <w:r>
        <w:t>a) Cela étant, compte tenu de la configuration des villas projetées (cf. les plans reproduits sous let. B/a et E/a supra ) respectivement du grief de la recourante en tant qu'il portait sur l'application de l'art. 5.5 RCAT - disposition dont on rappelle qu'elle prévoit que la distance entre bâtiments édifiés sur une même propriété peut être réduite jusqu'à 3 m " si les dispositions applicables en matière de protection contre l'incendie sont respectées " -, le TF a en substance retenu dans l'arrêt 1C_340/2015 du 16 mars 2016 que se posait la question du respect des prescriptions de protection contre les incendies sous l'angle de la distance entre bâtiments (cf. consid. 7.2.1 et 7.4, reproduits sous let. D/b supra ). Il a ainsi renvoyé la cause à la cour de céans afin notamment qu'elle examine s'il pouvait être dérogé à la distance de 4 m imposée par le ch. 2.4.1 let. c de l'ancienne DPI sur les distances de sécurité (15-03), dans le respect de l'art. 28 de l'ancienne norme AEAI (1-03) - dont il résulte en substance qu'il ne peut être dérogé aux distances minimales de sécurité prévues que lorsque les distances concernées " ne peuvent être augmentées "; si, comme le relève la constructrice, cette dernière condition n'a pas été reprise à l'art. 30 de la nouvelle norme AEAI (1-15), elle est désormais prévue au ch. 2.4 de la nouvelle DPI ad hoc [15-15] où sont évoqués dans ce cadre les cas où les distances minimales de sécurité " ne peuvent être respectées ". Dans son " Concept de protection incendie " du 23 mai 2016, l'expert AEAI F.________ a toutefois exposé que, dès lors que l'espace séparant les parois extérieures concernées était couvert dans sa totalité par une dalle étanche à l'eau et à l'air, les distances entre bâtiments ne s'appliquaient pas à cet espace, respectivement que, sous l'angle des dispositions AEAI applicables, il s'agissait bien plutôt d'une " voie d'évacuation " (horizontale) dans le contexte d' " un bâtiment comprenant deux logements individuels " (cf. ch. 2.1.2 et 2.1.5 reproduits sous let. E/a supra ). Expressément interpellé sur ce point, l'ECA a confirmé dans son écriture du 6 septembre 2016 qu'au sens de ces dispositions, la construction " se class [ait] comme un bâtiment [...] comportant deux logements ", que l'analyse effectuée par cet expert était " correcte " et qu'au vu de la configuration des lieux, le passage couvert concerné " d [evait] être considéré comme étant une voie d'évacuation horizontale "; il a encore confirmé son avis par écriture du 5 octobre 2016, en ce sens en particulier que le projet était considéré comme " un bâtiment d'habitation (maison abritant plusieurs logements) ", en référence à la DPI relative aux " Termes et définitions " (10-15) (cf. let E/b supra ). Le tribunal ne voit aucun motif de s'écarter de cette appréciation. Quoi que semble en dire la recourante, l'arrêt de renvoi du TF doit dans ce cadre être interprété en ce sens qu'il appartient à la cour de céans d'examiner la question de la conformité du projet aux prescriptions de protection contre les incendies; le principe de l'autorité de l'arrêt de renvoi du TF tel que rappelé ci-dessus (cf. consid. 1a) ne saurait avoir pour conséquence, à l'évidence, qu'il conviendrait dans tous les cas d'apprécier la situation sous l'angle de la distance entre bâtiments, nonobstant l'avis contraire et concordant de spécialistes en la matière - avis dont on relèvera qu'il n'est pas remis en cause par celui de l'expert AEAI D.________, dans la mesure où ce dernier indique expressément qu'il est parti de l' " hypothèse " que " la villa [était] considérée comme étant constituée par deux maisons distinctes " (la conclusion de l'intéressé, dont il résulte en substance que les prescriptions de protection contre les incendies sont respectées " même en considérant le bâtiment comme 2 maisons distinctes ", laisse au demeurant peu de place à quelconque doute quant au fait qu'il considère lui aussi que, sous l'angle des prescriptions de protection contre les incendies, la construction se compose d'un seul bâtiment; cf. let. E/a supra ). Or, sous l'angle des dispositions relatives aux voies d'évacuation horizontales plutôt, il n'est pas nécessaire d'examiner si et dans quelle mesure les distances séparant les parois concernées pourraient être augmentées (au sens de l'art. 28 de l'ancienne norme AEAI [1-03]), soit si les distances minimales de sécurité " ne peuvent être respectées " (au sens du ch. 2.4 de la nouvelle DPI ad hoc [15-15]), respectivement, pour reprendre la formulation du TF, s'il peut être dérogé à la distance minimale de 4 m imposée par le ch. 2.4.1 let. c de l'ancienne DPI sur les distances de sécurité (15-03; cf. ch. 2.2 al. 3 let. a de la DPI ad hoc 15-15). En tant qu'il s'agit d'une voie d'évacuation horizontale, l'espace couvert concerné doit en effet avoir une largeur minimale de 1.2 m et une hauteur minimale de 2.1 m (cf. ch. 2.4.5 al. 2 et al. 5 de la DPI relative aux " Voies d'évacuation et de sauvetage " [16-15]), conditions qui sont manifestement réalisées dans le cas d'espèce; seule doit pour le reste encore être examinée la question de " la nature ignifuge des parois extérieures concernées, prenant notamment en considération les ouvertures présentes sur celle [s] -ci " - pour reprendre la formulation de l'arrêt de renvoi du TF. b) Concernant cette dernière question, il convient de relever d'emblée que, comme on le verra plus en détail ci-après, le fait d'appréhender le cas sous l'angle des dispositions relatives aux voies d'évacuation horizontales plutôt que sous l'angle de la distance entre bâtiments n'a aucune incidence s'agissant des exigences qui doivent être respectées; l'expert AEAI F.________ a ainsi expressément précisé dans son " Concept de protection incendie " du 23 mai 2016 que ces exigences étaient les " mêmes " (ch. 2.1.5). aa) Cela étant, il résulte du ch. 2.1.5 du " Concept de protection incendie " réalisé le 23 mai 2016 par l'expert AEAI F.________ que " selon les exigences des prescriptions AEAI les parois du couloir de fuite doivent former des compartiments coupe-feu REI30 avec isolation et revêtements, disposés du côté de la voie d'évacuation, incombustibles (6q.3 ou RF1) ". Il convient à cet égard de se référer à la DPI relative aux " Matériaux et éléments de construction " (13-15), laquelle prévoit en particulier que l'évaluation des éléments de construction se fonde sur leur comportement en cas d'incendie, et notamment sur la durée de résistance au feu (ch. 3.1.1 al. 1). Les exigences déterminantes à cet égard sont (ch. 3.1.1 al. 2) la résistance = R (let. a), l'étanchéité = E (let. b) et l'isolation thermique = I (let. c). Sont dans ce cadre classés REI les éléments de construction porteurs avec fonction de compartimentage (ch. 3.1.8 al. 1). La durée de résistance au feu est la durée minimale, en minutes, pendant laquelle l'élément de construction doit remplir les exigences requises (ch. 3.1.1 al. 4); la classification REI30 se réfère à un élément de construction porteur avec fonction de compartimentage ayant une durée de résistance au feu de 30 minutes (cf. ch. 3.1.3). En outre, les matériaux de construction sont classés selon leur réaction au feu, le groupe RF1 comprenant les matériaux n'ayant " pas de contribution au feu " (ch. 2.1 al. 1; concernant la correspondance entre la catégorie de réaction au feu RF1 et la classification AEAI sq.3, cf. le tableau sous ch. 2.4.4). En l'occurrence et comme l'a retenu l'expert AEAI F.________, il apparaît que, s'agissant d'un bâtiment de faible hauteur (soit d'une hauteur totale de 11 m au maximum; cf. art. 13 al. 3 let. a de la norme AEAI 1-15) affecté en tant que bâtiment d'habitation, les éléments de construction exigés (dans un concept de construction) pour des parois formant compartiment coupe-feu et des voies d'évacuation horizontales correspondent à la classe EI30, respectivement REI30 s'il s'agit de parois porteuses (cf. tableau 1 sous ch. 3.7.1 de la DPI relative aux " Distances de sécurité incendie, systèmes porteurs et compartiments coupe-feu " [15-15] et ch. 3 du " Concept de protection incendie " du 23 mai 2016); quant aux exigences concernant la  réaction au feu des matériaux de construction des voies d'évacuation horizontales, il résulte du tableau sous ch. 4.2 de la DPI relative à l' " Utilisation des matériaux de construction " (14-15) qu'il convient de prévoir des matériaux de type RF1 notamment pour les revêtements de murs ou de plafonds (dans un concept de construction). bb) Dans son " Mémo " du 20 avril 2016, l'expert AEAI D.________ (dont on rappelle qu'il est parti de l' " hypothèse " que " la villa [était] considérée comme étant constituée par deux maisons distinctes " et qu'il a ainsi apprécié le cas sous l'angle de la distance entre bâtiments) se réfère pour sa part à la variante C de l'annexe " ad chiffre 2.4 Mesures compensatoires en cas de distances de sécurité incendie insuffisante " de la DPI 15-15 et à ce même tableau 1 sous ch. 3.7.1 de la DPI 15-15 (par renvoi de l'exigence 6 de la variante C); il aboutit à des exigences similaires, à cette seule différence qu'il évoque la classe EI30 en lieu et place de la classe REI30 - sans tenir compte du caractère porteur des murs concernés. cc) La recourante émet des doutes quant à la pertinence des expertises produites par la constructrice, relevant en substance, dans son écriture du 1 er juillet 2016, que l'on ignore quelles questions ont été posées aux experts et quels documents leur ont été remis, respectivement que, dans ces conditions, ces expertises sont " extrêmement indigestes, opaques et confuses ". Un tel grief ne résiste pas à l'examen; si les formulations employées ne sont pas directement compréhensibles pour un profane, compte tenu de leur caractère technique, ces expertises, dont l'ECA a confirmé le bien-fondé, n'en emportent pas moins la conviction du tribunal. Les questions posées aux experts ressortent implicitement de la teneur de leurs rapports respectifs; aucun élément ne permet pour le reste de remettre en cause le fait que les intéressés se sont fondés sur tous les documents utiles dans ce cadre. La recourante ne semble au demeurant plus remettre en cause le bien-fondé en tant que tel de la teneur de ces expertises dans sa dernière écriture du 28 octobre 2016. dd) Dans cette dernière écriture, l'intéressée maintient toutefois que le " Mémo " établi le 20 avril 2016 par D.________ - auquel elle se réfère exclusivement, dès lors qu'elle semble considérer que le cas doit dans tous les cas être appréhendé sous l'angle de la distance entre bâtiments compte tenu de la teneur de l'arrêt de renvoi du TF (à tort, comme on l'a vu sous consid. 2a supra ) - " n'est pas une expertise du projet mis à l'enquête mais un ensemble de recommandations à suivre pour que le projet initial mis à l'enquête [...] respecte les règles préconisées par ce mémo "; elle soutient ainsi que les " mesures compensatoires préconisées [...] ne figurent pas dans la demande de permis de construire et n' [ont] pas fait l'une enquête publique " et que le dossier mis à l'enquête publique est dès lors " lacunaire ". Il s'impose de constater que ces griefs ne résistent pas davantage à l'examen. Si le " Concept de protection incendie " établi le 23 mai 2016 par l'expert AEAI F.________ est effectivement bel et bien un " concept " plutôt qu'une étude concrète de la conformité du projet litigieux aux prescriptions de protection contre les incendies - ainsi l'ECA se réfère-t-il dans son écriture du 6 septembre 2016 aux mesures " préconisées " par cet expert -, il n'en va pas de même du " Mémo " établi le 20 avril 2016 par l'expert AEAI D.________. Ce dernier expose en effet que les parois extérieures concernées sont prévues en béton apparent (soit en matériaux de la catégorie RF1; cf. ch. 2.1 de la publication AEAI consacrée aux " Produits de construction bénéficiant d'une reconnaissance générale "), ce dont atteste au demeurant les " vues prospectives " réalisées le 28 août 2014 par l'architecte-paysagiste du projet au dossier. Se référant, comme on l'a déjà vu, à la variante C de l'annexe " ad chiffre 2.4 Mesures compensatoires en cas de distances de sécurité incendie insuffisante " de la DIP 15-15 - variante dont il précise qu'elle " correspond au système constructif de la villa " - et au tableau 1 sous ch. 3.7.1 de la DPI 15-15 déjà mentionné (par renvoi de l'exigence 6 de la variante C), il aboutit à la classe EI30, ce qui correspond à des " éléments de construction en béton " d'au moins 12 cm d'épaisseur (s'agissant de " parois " avec une durée de résistance au feu de 30 minutes; cf. le tableau 4 sous ch. 3.1 de la publication AEAI consacrée aux " Produits de construction bénéficiant d'une reconnaissance générale "); or et comme le relève expressément l'expert, le projet litigieux respecte cette exigence dès lors que les murs en cause ont en l'occurrence une épaisseur d'au moins 20 cm, ce dont atteste en particulier un extrait du plan du rez-de-chaussée reproduit en p. 1 de son " Mémo ". Cette analyse, dont l'ECA a confirmé le bien-fondé, conserve toute sa pertinence en appréhendant le cas sous l'angle des dispositions relatives aux voies d'évacuation horizontales - dès lors que, comme on l'a déjà vu, les exigences sont les mêmes dans ces deux hypothèses; en particulier, il n'est fait aucune distinction dans le tableau 4 sous ch. 3.1 de la publication AEAI consacrée aux " Produits de construction bénéficiant d'une reconnaissance générale " entre les " parois " selon qu'il s'agit de systèmes porteurs (REI30, comme l'a retenu l'expert AEAI F.________) ou non (EI30, comme l'a retenu l'expert AEAI D.________). Il convient ainsi de tenir pour établi que le projet tel que soumis à l'enquête publique respecte les prescriptions de protection contre les incendies s'agissant de la nature ignifuge des parois extérieures concernées. Si l'expert AEAI D.________ ne se prononce pas expressément dans son " Mémo " du 20 avril 2016 sur les ouvertures présentes sur ces parois, aucun élément au dossier ne porte pour le reste à croire que la constructrice ne se conformera pas aux exigences telles que prévues à cet égard dans le " Concept de protection incendie " établi le 23 mai 2016 par l'expert AEAI F.________ (cf. ch. 4.2 en partie reproduit sous let. E/a supra , où il est fait référence dans ce cadre au ch. 2.4.6 de la DPI relative aux " Voies d'évacuation et de sauvetage " [16-15], état au 01.11.2015, ainsi qu'au ch. 3.4 al. 1 et 2 de la DPI 15-15 déjà mentionnée). Ce seul point ne justifie manifestement ni la mise en œuvre d'une enquête publique complémentaire ni la délivrance d'un nouveau permis de construire, quoi qu'en dise la recourante - dont le grief apparaît au demeurant strictement formel, dès lors qu'elle ne semble plus contester la teneur des expertises au dossier dans sa dernière écriture du 28 octobre 2016; il y a bien plutôt lieu de considérer que les exigences en cause sont réputées incluses dans la condition spéciale figurant dans le permis de construire selon laquelle " les prescriptions de protection incendie [...] doivent être appliquées ", d'autant plus qu'il est déjà fait référence dans ce cadre à une liste - non exhaustive (" etc. ") - de locaux qui " doivent constituer des compartiments coupe-feu EI30, avec portes EI30 / E30 homologuées ". Il appartiendra pour le reste à la municipalité intimée de s'assurer que ces exigences ont été respectées avant de délivrer le permis d'habiter (cf. art. 128 al. 1 de la loi vaudoise du 4 décembre 1985 sur l'aménagement du territoire et les constructions - LATC; RSV 700.11 -, dont il résulte en particulier que l'occupation d'une construction nouvelle ou transformée est soumise à autorisation et que cette autorisation " ne peut être délivrée que si les conditions fixées par le permis de construire ont été respectées "). c) En définitive, le tribunal considère ainsi que le projet litigieux (tel que complété par les recommandations de l'expert AEAI F.________ s'agissant des ouvertures prévues sur les parois concernées) est réputé conforme aux prescriptions de protection contre les incendies.</w:t>
      </w:r>
    </w:p>
    <w:p>
      <w:r>
        <w:rPr>
          <w:b/>
        </w:rPr>
        <w:t>E. 3</w:t>
      </w:r>
    </w:p>
    <w:p>
      <w:r>
        <w:t>Dès lors que, comme on vient de le voir, les dispositions applicables en matière de protection contre les incendies sont respectées, la distance entre les bâtiments (sous l'angle du droit des constructions) peut être réduite jusqu'à 3 m entre façades aveugles ou entre parties aveugles de façade, en application de l'art. 5.5 RCAT. La recourante conteste que les parois extérieures concernées puissent être qualifiées de façades aveugles dans le cas d'espèce. On peut à cet égard renvoyer à la teneur du consid. 5c de l'arrêt AC.2014.0098 du 20 mai 2015 sur ce point (reproduit sous let. D/b supra ), dont il résulte en substance qu'est déterminant dans ce cadre le fait que les ouvertures pratiquées sur ces parois ne sont manifestement pas destinées à offrir aux occupants de la villa une vue sur l'extérieur (avec référence à l'arrêt AC.2009.0230 du 24 janvier 2011 consid. 4). La distance entre les bâtiments (sous l'angle du droit de la construction) étant de 3.5 m en l'occurrence et les façades étant réputées aveugles, le projet apparaît dès lors conforme à la réglementation communale sur ce point.</w:t>
      </w:r>
    </w:p>
    <w:p>
      <w:r>
        <w:rPr>
          <w:b/>
        </w:rPr>
        <w:t>E. 4</w:t>
      </w:r>
    </w:p>
    <w:p>
      <w:r>
        <w:t>Il résulte des considérants qui précèdent que le recours doit être rejeté et les décisions attaquées confirmées. Un émolument de 2'500 fr. est mis à la charge de la recourante, qui succombe (art. 49 al. 1 LPA-VD). La constructrice, qui obtient gain de cause avec le concours d'un avocat, a droit à une indemnité à titre de dépens (art. 55 al. 1 LPA-VD), dont il convient d'arrêter le montant à 4'000 fr. à la charge de la recourante (art. 55 al. 2 LPA-VD); la municipalité intimée a également droit à une telle indemnité à la charge de la recourante, dont il convient d'arrêter le montant à 3'000 fr. compte tenu des circonstances (en particulier du caractère pour le moins succinct de ses écritures à la suite de l'arrêt de renvoi du 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