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AC.2016.0082 vom 4. Mai 2017</w:t>
      </w:r>
    </w:p>
    <w:p>
      <w:r>
        <w:t>VD Tribunal cantonal, 2017-05-04, FR</w:t>
      </w:r>
    </w:p>
    <w:p>
      <w:r>
        <w:rPr>
          <w:b/>
        </w:rPr>
        <w:t xml:space="preserve">Quelle: </w:t>
      </w:r>
      <w:r>
        <w:t>https://mcp.opencaselaw.ch/entscheid/vd_omni_AC.2016.0082</w:t>
      </w:r>
    </w:p>
    <w:p>
      <w:r>
        <w:t>FR: VD_OMNI AC.2016.0082 du 4 mai 2017</w:t>
      </w:r>
    </w:p>
    <w:p>
      <w:r>
        <w:t>IT: VD_OMNI AC.2016.0082 del 4 maggio 2017</w:t>
      </w:r>
    </w:p>
    <w:p>
      <w:pPr>
        <w:pStyle w:val="Heading2"/>
      </w:pPr>
      <w:r>
        <w:t>Regeste</w:t>
      </w:r>
    </w:p>
    <w:p>
      <w:r>
        <w:t>A.________ et B.________ /Municipalité de Belmont-sur-Lausanne, C.________ , D.________ et E.________ | Confirmation de l'ordre donné aux recourants par la municipalité de déposer dans un délai de trente jours un dossier complet de demande d'autorisation de construire concernant un mur et une terrasse qui n'avaient pas fait l'objet d'une autorisation de construire (consid. 3).</w:t>
      </w:r>
    </w:p>
    <w:p>
      <w:pPr>
        <w:pStyle w:val="Heading2"/>
      </w:pPr>
      <w:r>
        <w:t>Erwägungen</w:t>
      </w:r>
    </w:p>
    <w:p>
      <w:r>
        <w:rPr>
          <w:b/>
        </w:rPr>
        <w:t>E. 1</w:t>
      </w:r>
    </w:p>
    <w:p>
      <w:r>
        <w:t>Se pose tout d'abord la question de savoir si l'installation d'un jacuzzi, tel celui en cause, nécessite l'octroi d'une autorisation, ce que contestent les recourants. a)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p. 479; 123 II 256 consid. 3 p. 259; 113 Ib 314 consid. 2b p. 315; cf. aussi arrêts TF 1C_254/2016 du 24 août 2016 consid. 3.2; 1C_618/2014 du 29 juillet 2015 consid. 3.1; voir également AC.2014.0364 du 26 janvier 2016 consid. 2b).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 3 p. 259; arrêts TF 1C_618/2014 du 29 juillet 2015 consid. 3.1; 1C_107/2011 du 5 septembre 2011 consid. 3.2). En conséquence, de petits projets, de dimensions limitées et qui n’ont d’impact ni sur des intérêts publics ni sur l’intérêt des voisins ne sont pas soumis à autorisation en vertu de l’art. 22 al. 1 LAT. Pour déterminer si une telle exigence s’applique pour une petite construction, il faut donc examiner les caractéristiques de l’endroit où le projet doit être réalisé (ATF 139 II 134 consid. 5.2). Sont ainsi assimil.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 p. 259; A LEXANDER R UCH , in A EMISEGGER /K UTTLER /M OOR /R UCH , Commentaire de la LAT, 2010, n° 24 ad art. 22 LAT; cf. aussi arrêt TF 1C_75/2011 du 5 juillet 2011 consid. 2.1). L'assujettissement a été admis pour une roulotte de grandes dimensions destinée à jouer le rôle d'une maison de vacances (ATF 100 Ib 482 consid. 4 p. 488), des clôtures et barrières hors de la zone à bâtir (ATF 118 Ib 49), un jardin d'hiver, une véranda, une cabane de jardin ou un couvert servant de garage (arrêt non publié 1A.92/1993 consid. 2a, et les références citées), de même que pour un jacuzzi (arrêt TF 1C_75/2011 du 5 juillet 2011, dans lequel le TF a confirmé le refus du permis de construire un jacuzzi installé sur une terrasse située dans une partie du toit d'un bâtiment historique classé et son enlèvement; voir aussi AC.2013.0367 du 24 septembre 2015 consid. 6e; AC.2007.0206 du 14 janvier 2009 consid. 6e). Aux termes de l'art. 103 de la loi vaudoise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(al. 1).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68a al. 2 du règlement du 19 septembre 1986 d'application de la LATC (RLATC; RSV 700.11.1) contient une liste de constructions et d'installations qui peuvent ne pas être soumises à autorisation. b) Les art. 54 et 56 du règlement du 4 octobre 2006 d'application de la loi du 16 mai 2006 sur l'énergie (RLVLEne; RSV 730.01.1), qui concernaient auparavant uniquement les piscines chauffées (cf. Recueil annuel du 27 octobre 2006), ont fait l'objet de modifications le 2 juillet 2014 (Recueil annuel du 15 juillet 2014), entrées en vigueur le 1 er février 2015, en relation avec les jacuzzis. Selon l'art. 54 RLVLEne, la construction et l'assainissement des piscines et jacuzzis fixes chauffés, quelle que soit la contenance, ainsi que le renouvellement et la transformation importante des installations techniques qui les chauffent sont soumis à autorisation du service au sens de l'art. 120 LATC. Aux termes de l'art. 120 al. 1 let. d LATC, ne peuvent sans autorisation spéciale être construits, reconstruits, agrandis, transformés ou modifiés dans leur destination les constructions, les ouvrages, les installations et les équipements soumis à autorisation ou qui doivent être approuvés selon des dispositions légales ou réglementaires fédérales ou cantonales. Conformément à l'art. 56 RLVLEne, la construction et l'assainissement de piscines et jacuzzis extérieurs chauffés ainsi que les modifications importantes de leurs installations ne sont admis que si des énergies renouvelables ou des rejets de chaleur inutilisables autrement sont exclusivement employés (al. 1). Sont soumise aux exigences de l'alinéa 1, toutes les installations qui demeurent à l'extérieur durant l'entier de la saison estivale (al. 3). Le chauffage au moyen d'une pompe à chaleur est admis, à la condition que le bassin soit équipé d'une couverture contre les déperditions thermiques (al. 4). c) La loi fédérale du 7 octobre 1983 sur la protection de l’environnement (LPE; RS 814.01) prévoit, pour la limitation des émissions, un concept d'action à deux niveaux: une limitation dite préventive, qui doit être ordonnée en premier lieu, indépendamment des nuisances existantes (art. 11 al. 2 LPE), puis une limitation complémentaire ou plus sévère des émissions qui doit être ordonnée s'il appert ou s'il y a lieu de présumer que les atteintes, eu égard à la charge actuelle de l'environnement, seront nuisibles ou incommodantes (art. 11 al. 3 LPE; cf. également les arrêts AC.2014.0163 du 9 octobre 2015 consid. 12a; AC.2013.0489 du 11 mars 2015 consid. 5a). Il n'est pas exclu que la jurisprudence relative à la pompe à chaleur (ATF 141 II 476), qui est une installation fixe nouvelle au sens des art. 7 al. 7 LPE et 2 al. 1 de l’ordonnance fédérale du 15 décembre 1986 sur la protection contre le bruit (OPB; RS 814.41; cf. ATF 141 II 476 consid. 3.2) et à laquelle peut s'apparenter un jacuzzi, soit ainsi applicable par analogie à ce dernier. Installée à l'extérieur, la pompe à chaleur produit un bruit extérieur et ne peut donc être construite que si les immissions sonores qu'elle engendre ne dépassent pas les valeurs de planification fixées à l'annexe 6 OPB (art. 25 al. 1 LPE et 7 al. 1 let. b OPB). En particulier, l'annexe 6 OPB prévoit les valeurs limites applicables aux installations de chauffage. Pour une zone ayant, comme c'est le cas en l'occurrence, le degré de sensibilité II, les valeurs de planification sont de 55 dB en journée et 45 dB durant la nuit.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(cf. ATF 141 II 476 consid. 3.2 , et les références citées; arrêts TF 1C_204/2015 du 18 janvier 2016 consid. 3.7;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(ATF 141 II 476 consid. 3.2, et les références citées; arrêts TF 1C_161/2015 du 22 décembre 2015 consid. 2; 1C_506/2008 du 12 mai 2009 consid. 3.3). Selon le Tribunal fédéral, il faut examiner chaque cas d'espèce pour déterminer si le principe de prévention exige une limitation supplémentaire des émissions (ATF 141 II 476 consid. 3.2; 124 II 517 consid. 4b, et les références citées). Pour une nouvelle installation, il ne s'agit pas de choisir entre différentes variantes du projet respectant les valeurs de planification, mais de choisir la variante qui offre la meilleure protection contre le bruit au regard des principes de prévention et de proportionnalité (arrêt TF 1C_506/2008 du 12 mai 2009 consid. 3.3). S'agissant en particulier du choix de l'emplacement d'une nouvelle installation, le principe de prévention impose de tenir compte des émissions que celle-ci produira et de la protection des tiers contre les atteintes nuisibles et incommodantes, afin de choisir l'emplacement le moins bruyant (ATF 141 II 476 consid. 3.2). d)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de l'ordonnance fédérale du 28 juin 2000 sur l'aménagement du territoire [OAT; RS 700.1]; ATF 127 II 209 consid. 2b p. 211; 123 II 248 consid. 3a/bb p. 252; 102 Ib 64 consid. 4 p. 69; cf. aussi arrêt TF 1C_486/2015 du 24 mai 2016 consid. 3.2).</w:t>
      </w:r>
    </w:p>
    <w:p>
      <w:r>
        <w:rPr>
          <w:b/>
        </w:rPr>
        <w:t>E. 2</w:t>
      </w:r>
    </w:p>
    <w:p>
      <w:r>
        <w:t>a) Compte tenu du type de jacuzzi dont il s'agit, son installation nécessite indéniablement une autorisation à tout le moins de la commune. Le mode d'emploi du jacuzzi (ci-après: le mode d'emploi) donne en effet des instructions particulières quant à son installation. Il précise ainsi que ce dernier doit être installé uniquement sur un sol ou une surface qui puisse résister à une exposition répétée à l'eau, des écoulements d'eau pouvant être provoqués par des éclaboussures, un débordement, le remplissage et la vidange du bassin ainsi qu'une panne des équipements (mode d'emploi p. 7). Il est également indiqué que le jacuzzi doit être posé sur une surface structurellement robuste, lisse et de niveau (carrelage, ciment, plancher, briques ou sable) (mode d'emploi p. 9), le mode d'emploi précisant qu'il est essentiel que les fondations soient résistantes pour assurer la stabilité de la structure ou de la terrasse (mode d'emploi p. 9). Il s'agit donc, ainsi que le relève la municipalité dans sa réponse au recours, indubitablement d'un jacuzzi devant reposer sur une surface particulière qui requiert à ce titre une autorisation. La comparaison des orthophotos de la parcelle n° 229 de 2012 et de 2016 figurant au dossier permet de constater que le jacuzzi a été déplacé de son emplacement sur la terrasse au Sud de la parcelle (cf. orthophoto de 2012) au Nord-Ouest du bien-fonds (cf. orthophoto de 2016). Or, l'orthophoto de la parcelle de 2016, sur laquelle on distingue une auréole à l'emplacement précédent du jacuzzi sur la terrasse Sud, montre d'ailleurs que cette installation a une incidence même sur un sol en dur. Le manuel précise par ailleurs qu'un programme régulier de traitement de l'eau au moyen de produits chimiques est essentiel au fonctionnement de l'installation (mode d'emploi pp. 17 et 21) et que celle-ci doit être également vidangée et nettoyée tous les deux à trois mois et lorsqu'elle reste inutilisée pendant plus de deux semaines (mode d'emploi p. 19). Dès lors qu'il peut y avoir en outre des écoulements d'eau, l'utilisation du jacuzzi n'est ainsi pas sans incidence sur l'environnement. L'assujettissement à autorisation se justifie ainsi aussi au vu du risque d'atteinte à la protection de la nature. Les nuisances sonores dont ont fait état les voisins et l'étude acoustique du 29 janvier 2016 à laquelle a procédé un bureau d'ingénieurs sur demande des recourants laissent également penser que le jacuzzi en cause, de par le bruit et les vibrations qu'il provoque, est un ouvrage susceptible de porter atteinte aux intérêts privés de voisins dignes de protection. L'on peut enfin relever que les recourants ne sauraient prétendre que leur jacuzzi n'est pas une installation destinée à être durablement installée à un endroit, dès lors qu'ils l'ont visiblement aménagée de manière durable au Nord-Ouest de la parcelle. Au vu de ce qui précède, l'aménagement du jacuzzi litigieux est soumis à autorisation, conformément à la réglementation applicable. C'est en conséquence à tort que les recourants prétendent que tel ne serait pas le cas et que leur jacuzzi pourrait être maintenu à son emplacement actuel, soit au Nord-Ouest de la parcelle, sans autorisation quelconque. b) La décision attaquée, en tant qu'elle exige que le jacuzzi soit remis à son emplacement d'origine, soit sur la terrasse au Sud de la maison des recourants, constitue implicitement une régularisation de l'installation de l'ouvrage en question à cet endroit-là, soit à celui qu'il occupait auparavant, à tout le moins depuis 2012 (cf. l'orthophoto de 2012), installation qui, contrairement aux exigences précitées, n'avait pas fait l'objet d'une autorisation. Le tribunal ne voit pas de raisons de remettre en cause une telle régularisation. Dès lors qu'elle porte sur un aménagement qui a été effectué à l'endroit en cause en 2012 au plus tard, une telle installation n'est en effet pas susceptible de devoir faire l'objet d'une autorisation spéciale selon les art. 54 et 56 RLVLEne, entrés en vigueur le 1 er février 2015, sachant en outre que l'on ne saurait considérer que la réparation du moteur, voire son changement, les recourants n'étant pas tout à fait clairs sur ce point, constitue une modification importante des installations au sens des art. 54 et 56 RLVLEne. L'on peut également relever qu'il ressort de la comparaison des orthophotos de la parcelle n° 229 de 2012 et de 2016 que le déplacement du jacuzzi de la terrasse au Nord-Ouest du bien-fonds semble avoir été effectué seulement quelque temps avant que l'orthophoto de 2016 ne soit prise, ainsi que l'auréole figurant à l'ancien emplacement du jacuzzi permet de le supposer, et que ce déplacement correspondrait à l'apparition des nuisances dont les voisins propriétaires de la parcelle n° 230 ont commencé à se plaindre dans le courant de l'année 2015. Il s'ensuit qu'un tel déplacement paraît conforme au principe de prévention applicable en matière de protection de l'environnement et plus particulièrement de protection contre le bruit quant au choix de l'emplacement le moins bruyant. En effet, le jacuzzi qui, certes, selon l'étude acoustique à laquelle les recourants ont fait procéder respecterait à son emplacement au Nord-Ouest de la parcelle les valeurs de planification fixées à l'annexe 6 OPB, n'avait visiblement provoqué aucune plainte du voisinage lorsqu'il était en revanche installé sur la terrasse des recourants. L'argument de ces derniers selon lequel les nuisances sonores auraient été provoquées par l'installation d'un moteur provisoire entre avril et décembre 2015 n'est à cet égard pas déterminant, dès lors que les propriétaires de la parcelle n° 230 se plaignaient toujours, dans un courrier du 3 mars 2016, des nuisances occasionnées par le jacuzzi, sis au Nord-Ouest de la parcelle. Si, en revanche, les recourants tenaient à maintenir leur jacuzzi à son emplacement actuel, soit au Nord-Ouest de la parcelle, emplacement qui a provoqué l'intervention de voisins quant au bruit et aux vibrations occasionnés, ils devraient procéder au dépôt formel d'un dossier complet de demande d'autorisation de construire, dossier qui serait soumis aux autorisations et préavis nécessaires des autorités compétentes en la matière, en particulier vraisemblablement celle découlant des art. 54 et 56 RLVLEne (cf. arrêt AC.2015.0264 du 5 décembre 2016). L'installation du jacuzzi à ce nouvel emplacement, soit à un emplacement différent de celui autorisé par la municipalité, impliquerait en effet qu'une nouvelle procédure de demande d'autorisation de construire soit entreprise. A noter que l'on pourrait même se demander si le déplacement du jacuzzi sur la terrasse située au Sud de la maison, tel qu'ordonné par la municipalité dans la décision entreprise, n'aurait pas également dû faire l'objet du dépôt d'un dossier complet de demande d'autorisation de construire.</w:t>
      </w:r>
    </w:p>
    <w:p>
      <w:r>
        <w:rPr>
          <w:b/>
        </w:rPr>
        <w:t>E. 3</w:t>
      </w:r>
    </w:p>
    <w:p>
      <w:r>
        <w:t>Les recourants contestent par ailleurs le fait qu'il leur soit demandé de déposer dans un délai de trente jours un dossier complet de demande d'autorisation de construire concernant le mur en éléments Muraflore et la terrasse, tous deux sis au Sud de la villa des recourants, ainsi que tout autre aménagement ne figurant pas sur les plans soumis à l'enquête publique en août 1977 et faisant foi pour la délivrance du permis de construire.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AC.2015.0100 du 7 septembre 2016 consid. 1a; AC.2015.0027, AC.2015.0031 du 15 janvier 2016 consid. 3a; AC.2014.0015 du 30 juin 2014 consid. 2b). L’art. 111 LATC précise pour sa part que la municipalité peut dispenser de l’enquête publique les travaux de minime importance, notamment ceux mentionnés dans le règlement cantonal. La jurisprudence constante considère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longtemps et sont visibles pour les tiers. L'enquête publique n'est pas une fin en soi, l'essentiel étant de savoir si son absence gêne les intéressés dans l'exercice de leurs droits (cf. notamment AC.2013.0346 du 26 août 2014 consid. 3a; AC.2012.0130 du 13 décembre 2012 consid. 4a; AC.2012.0021 du 16 mai 2012 consid. 2, et les références citées). b) Les recourants invoquent tout d'abord le fait que les travaux en cause, soit en particulier le mur et la terrasse, auraient fait l'objet d'une mise à l'enquête publique lors du dépôt de la demande de permis construire en 1977. On ne saurait toutefois considérer que tel est le cas. Il ne ressort en effet pas des plans déposés en 1977 et soumis à l'enquête publique du 2 au 12 août 1977 qu'un mur et une terrasse, tels ceux en cause, auraient alors été prévus. Une terrasse couverte, correspondant très probablement à la "véranda avec dallage" à laquelle se réfère la demande de permis de construire, était certes prévue au Sud de la maison, ainsi qu'un chemin d'accès à l'Ouest de la parcelle n° 229 et un muret en bordure Sud-Ouest de cette même parcelle, à proximité du chemin d'accès et du garage situé au Sud de la maison (cf. en particulier plans n° 07.76.07 du 24 mars 1977, modifié les 24 juin et 14 juillet 1977, n° 07.76.09 du 24 mars 1977, modifié le 20 juillet 1977, n° 07.76-14 du 25 juin 1977, n° 07.76-18 du 20 juillet 1977), mais aucunement un mur tel celui litigieux ni le dallage de toute la surface située au Sud de la villa des recourants. A noter que même si les plans de 1977 comprenaient les aménagements litigieux, l'on ne saurait considérer que de tels plans déposés en 1977 et ayant fait l'objet d'une autorisation de construire le 18 août 1977 puissent permettre la construction d'aménagements extérieurs effectués, ainsi que le démontrent les orthophotos de 2009, 2012 et 2016 produites par la municipalité, entre 2009 et 2016. Les recourants font par ailleurs valoir que la commune aurait été parfaitement au courant que les travaux litigieux auraient été effectués par les précédents propriétaires de la part de PPE n° 1141 sur la parcelle n° 229, ainsi que cela ressortirait de la décision attaquée. Ainsi qu'elle l'explique dans le cadre de celle-ci, c'est en comparant les orthophotos de 2009, 2012 et 2016, que la municipalité en a été amenée à constater que les travaux en cause, figurant déjà entièrement pour la terrasse et partiellement pour le mur sur l'orthophoto de 2012, le mur n'apparaissant dans son entier que sur l'orthophoto de 2016, les travaux ne figurant en revanche aucunement sur l'orthophoto de 2009, avaient été effectués, à tout le moins pour l'essentiel, par les précédents propriétaires, sachant que les recourants ont acquis la propriété de la part de PPE n° 1141 sur la parcelle n° 229 en juillet 2013. Le fait en outre que ce seraient les anciens propriétaires qui auraient procédé à des aménagements extérieurs non autorisés n'est pas déterminant. En effet, selon la jurisprudence, les acquéreurs ultérieurs d'un immeuble en sont entrés en possession avec les droits et obligations qui lui sont rattachés, en particulier ceux découlant du droit public des constructions. A ce titre, ils doivent également se laisser opposer la mauvaise foi de leurs prédécesseurs (cf. arrêt TF 1C_122/2016 du 7 septembre 2016 consid. 6.2.3, et les références citées). Les recourants n'apportent par ailleurs aucun élément qui permettrait de mettre en doute l'affirmation de la municipalité selon laquelle elle a découvert l'existence des aménagements extérieurs litigieux dans le cadre de l'instruction relative au jacuzzi, en comparant les orthophotos de 2009, 2012 et 2016. Ils ne sauraient en particulier être suivis lorsqu'ils affirment que, compte tenu des travaux nécessaires pour effectuer un terrassement, il serait impensable que la commune ne s'en soit pas rendue compte lorsqu'ils ont été effectués. L'on ne voit pas pourquoi tel devrait être le cas. c) Au vu de l'ensemble du dossier, l'on ne peut en outre que suivre la municipalité, lorsqu'elle exige que les recourants déposent un dossier complet de demande d'autorisation de construire. Les travaux en cause, qui n'ont pas fait l'objet d'une demande d'autorisation de construire, n'ont pas été mis à l'enquête publique et ne bénéficient d'aucune autorisation de construire, sont en effet d'une certaine importance. Il ressort notamment du recours qu'il a en particulier dû être procédé à un terrassement ainsi que du dossier, en particulier des orthophotos de 2009, 2012 et 2016 et des photographies produites par les recourants dans le cadre de la présente procédure, que le mur paraît être d'une certaine hauteur et que toute la partie située au Sud de la maison des recourants a été recouverte d'un dallage. Il se justifie dès lors que la municipalité puisse à tout le moins être en possession d'un dossier complet, de manière à disposer des informations nécessaires sur les travaux non autorisés qui ont été réalisés ou qui sont en cours d'exécution en vue d'examiner leurs possibilités de régularisation. Il sied de relever que la municipalité n'exige pas la démolition des ouvrages réalisés sans droit, mais uniquement le dépôt d'un dossier complet de demande d'autorisation de construire concernant le mur et la terrasse ainsi que tout autre aménagement ne figurant pas sur les plans soumis à l'enquête publique en août 1977, sans préjuger de la décision qui sera prise ultérieurement. Rien ne justifie enfin de prolonger, ainsi que le demandent subsidiairement les recourants, le délai de trente jours qui leur a été imparti pour déposer un dossier complet, sachant en particulier que cela fait maintenant plus d'une année qu'une telle demande leur a été faite. Le grief des recourants doit, au vu de ce qui précède, être rejeté.</w:t>
      </w:r>
    </w:p>
    <w:p>
      <w:r>
        <w:rPr>
          <w:b/>
        </w:rPr>
        <w:t>E. 4</w:t>
      </w:r>
    </w:p>
    <w:p>
      <w:r>
        <w:t>Vu les considérants qui précèdent, le recours doit être rejeté et la décision attaquée, confirmée. Compte tenu de l'issue de la cause, des frais seront mis à la charge des recourants (art. 49 al. 1, 91 et 99 de la loi vaudoise du 28 octobre 2008 sur la procédure administrative [LPA-VD; RSV 173.36]), qui supporteront en outre les dépens alloués à la commune, qui a obtenu gain de cause avec l'assistance d'un mandataire (art. 55, 91 et 99 LPA-VD). Aucuns dépens ne seront en revanche alloués aux opposants qui ont indiqué dans leur écriture du 23 mai 2016 au tribunal, tout en se ralliant entièrement à la position de la municipalité, renoncer à prendre des conclusions formelles dans le cadre de la présente procédure et n'entendre ainsi pas prendre part à la suite de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