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AC.2016.0054 vom 2. August 2016</w:t>
      </w:r>
    </w:p>
    <w:p>
      <w:r>
        <w:t>VD Tribunal cantonal, 2016-08-02, FR</w:t>
      </w:r>
    </w:p>
    <w:p>
      <w:r>
        <w:rPr>
          <w:b/>
        </w:rPr>
        <w:t xml:space="preserve">Quelle: </w:t>
      </w:r>
      <w:r>
        <w:t>https://mcp.opencaselaw.ch/entscheid/vd_omni_AC.2016.0054</w:t>
      </w:r>
    </w:p>
    <w:p>
      <w:r>
        <w:t>FR: VD_OMNI AC.2016.0054 du 2 août 2016</w:t>
      </w:r>
    </w:p>
    <w:p>
      <w:r>
        <w:t>IT: VD_OMNI AC.2016.0054 del 2 agosto 2016</w:t>
      </w:r>
    </w:p>
    <w:p>
      <w:pPr>
        <w:pStyle w:val="Heading2"/>
      </w:pPr>
      <w:r>
        <w:t>Regeste</w:t>
      </w:r>
    </w:p>
    <w:p>
      <w:r>
        <w:t>A.________, B.________ /Municipalité de Daillens, C.________, D.________ | Recours des voisins contre une décision délivrant un permis de construire pour 2 villas. - Grief relatif aux nuisances excessives en raison de la création d'une voie d'accès et des places de parc proches de la limite de parcelle des recourants. Lorsque des immissions de bruit ou des pollutions atmosphériques sont invoquées, la clause de l'art. 39 al. 4 RLATC, selon laquelle la dépendance ne doit pas entraîner de préjudice pour les voisins, n'a pas de portée indépendante par rapport aux normes, directement applicables, de la loi fédérale du 7 octobre 1983 sur la protection de l'environnement, ainsi que des ordonnances d'application de cette loi (ordonnance sur la protection contre le bruit du 15 décembre 1986 et ordonnance sur la protection de l'air du 16 décembre 1985). En l'espèce, la création d'une voie d'accès et des places de parc sur la parcelle concernée n'entraîne pas des immissions de bruit ou des pollutions atmosphériques contraires au droit fédéral. Elles ne créent pas d'inconvénients majeurs pour les recourants. - La hauteur du bâtiment est réglementaire. Rejet du recours.</w:t>
      </w:r>
    </w:p>
    <w:p>
      <w:pPr>
        <w:pStyle w:val="Heading2"/>
      </w:pPr>
      <w:r>
        <w:t>Erwägungen</w:t>
      </w:r>
    </w:p>
    <w:p>
      <w:r>
        <w:rPr>
          <w:b/>
        </w:rPr>
        <w:t>E. 1</w:t>
      </w:r>
    </w:p>
    <w:p>
      <w:r>
        <w:t>a) La décision attaquée, par laquelle la municipalité lève les oppositions à un projet de construction et délivre un permis de construire, est susceptible d'un recours de droit administratif au sens des art. 92 ss de la loi du 28 octobre 2008 sur la procédure administrative (LPA-VD; RSV 173.36). Le recours a été déposé en temps utile et il respecte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dans la jurisprudence fédérale, ATF 137 II 40 consid. 2.3). Le propriétaire d'un bien-fonds directement voisin, qui a formé opposition lors de l'enquête publique, a en principe qualité pour recourir lorsqu'il critique notamment les effets de la construction projetée. Ces conditions sont remplies pour les recourants qui ont formé opposition et sont propriétaires d'un bien-fonds directement voisin de la parcelle litigieuse, sur lequel  un bâtiment d'habitation est construit. Il y a donc lieu d'entrer en matière. b)  Après la fin de l'instruction et l'annonce de la composition de la cour, les recourants ont demandé la suspension de procédure. Au regard des motifs invoqués, il ne se justifie pas d'admettre cette requête et de différer à ce stade le jugement de cette affaire.</w:t>
      </w:r>
    </w:p>
    <w:p>
      <w:r>
        <w:rPr>
          <w:b/>
        </w:rPr>
        <w:t>E. 2</w:t>
      </w:r>
    </w:p>
    <w:p>
      <w:r>
        <w:t>Les recourants se plaignent de l'emplacement des deux couverts à véhicules, de la place de parc extérieure et de l'accès projetés dans la partie nord de la parcelle n° 25, près de la limite de leur parcelle n° 435. Ils font valoir que ces ouvrages sont trop proches de leur villa et qu'ils leur causeront des nuisances excessives à cause du bruit et des gaz d'échappement. a) L'art. 3.19 RPGAPC fixe, dans la zone de villas, la distance aux limites avec les parcelles voisines à six mètres. L'art. 4.9 RPGAPC, applicable à toutes les zones, dispose que la municipalité peut autoriser la construction de dépendances de peu d'importance au sens de l'art. 39 RLATC (règlement d'application de la loi du 4 décembre 1985 sur l'aménagement du territoire et les constructions - RSV 700.11.1) dans les espaces réglementaires, notamment entre bâtiments et limites de propriété. A teneur de l'art. 39 RLATC, auquel renvoie le règlement communal, la construction de dépendances de peu d'importance, dont l'utilisation est liée à l'occupation du bâtiment principal, est autorisée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Selon la jurisprudence, les rampes et voies d'accès aux garages, construites sur fonds privés, sont assimilées aux dépendances selon l’art. 39 al. 3 RLATC, au même titre que les places de stationnement à l'air libre; elles peuvent être construites dans les espaces réglementaires entre bâtiments et limites de propriété (AC.2014.0103 du 12 février 2015 consid. 3e et les références citées). b) En l'occurrence, les couverts à véhicules ainsi que la place de parc extérieure sont prévus à six mètres de la limite nord de la parcelle n° 25. La règle communale sur la distance à la limite est respectée, de sorte que, de ce point de vue, les recourants ne sont pas fondés à se plaindre d'une implantation trop proche de leur propriété. En revanche, la voie d'accès privée à ces couverts, sur la parcelle n° 25, est située dans les espaces réglementaires, à savoir le long et sur les limites nord et est de la propriété. Elle peut en principe être autorisée sur la base de l'art. 39 RLATC. Cela étant, les recourants se plaignent du bruit et des émissions de gaz générés par les véhicules qui emprunteront cette voie d'accès. Lorsque des immissions de bruit ou des pollutions atmosphériques sont invoquées, la clause de l'art. 39 al. 4 RLATC, selon laque ll e la dépendance ne doit pas entraîner de préjudice pour les voisins, n'a pas de portée indépendante par rapport aux normes, directement applicables, de la loi fédérale du 7 octobre 1983 sur la protection de l'environnement (LPE; RS 814.01) ainsi que des ordonnances d'application de cette loi (ordonnance sur la protection contre le bruit du 15 décembre 1986 [OPB; RS 814.41] et ordonnance sur la protection de l'air du 16 décembre 1985 [OPAIR; RS 814.318.142.1] - cf. AC.2013.0360 du 21 mai 2014 consid. 7b; AC.2012.0121 du 6 mai 2013 consid. 5). Lorsque l'autorité compétente se prononce sur la construction d'une nouvelle installation susceptible de provoquer des atteintes à l'environnement, comme du bruit ou des pollutions atmosphériques, elle doit en principe examiner si des mesures préventives de limitation des émissions se justifient, dans la mesure que permettent l'état de la technique et les conditions d'exploitation, et pour autant que cela soit économiquement supportable (art. 11 al. 2 LPE). S'agissant du bruit, la loi fédérale prescrit encore, à l'art. 25 al. 1 LPE, que ces émissions ne doivent pas dépasser les valeurs de planification dans le voisinage. Le Conseil fédéral a fixé des valeurs de planification pour le bruit des véhicules sur l'aire d'exploitation des entreprises industrielles et artisanales, dans les environs immédiats des bâtiments agricoles et sur les grandes places de parc à ciel ouvert (annexe 6 de l'OPB, ch. 1 al. 1 let. c et d), mais pas pour les aires de circulation et de stationnement attenantes aux maisons d'un quartier de villas. Il faut donc évaluer les immissions de bruit en tenant compte des critères généraux de la loi, soit en examinant notamment si l'activité en cause est susceptible de gêner la population dans son bien-être (cf. art. 40 al. 3 OPB; ATF 130 II 32 consid. 2). Or il est manifeste en l'espèce que le trafic généré par les habitants de deux maisons accolées ne provoquera pas de nuisances de bruit (bruit des moteurs, bruit des pneus sur un revêtement dur, voire sur du gravier, où le bruit est davantage perceptible) contraires au droit fédéral, et qu'aucune mesure constructive particulière ne doit être imposée au titre du principe de la prévention (cf. notamment AC.2011.0020 du 21 novembre 2011, consid. 5). En particulier, le droit fédéral ne peut pas être invoqué pour exiger la construction d'un mur anti-bruit végétalisé, le long de la limite nord-est de la parcelle n° 25, ni pour interdire de créer un chemin en gravier, étant rappelé que l'art. 4.15 RPGAPC prévoit pour les aires de stationnement des revêtements perméables. La pollution atmosphérique causée par les véhicules des habitants et de leurs visiteurs (le passage journalier de quelques automobiles) n'est à l'évidence pas significative et, sur ce point également, aucune mesure de construction ou d'exploitation ne doit être prescrite sur la base de l'art. 11 al. 2 LPE. Ces inconvénients doivent être tolérés dans une zone résidentielle (cf. AC.2013.0360 du 21 mai 2014 consid. 7b). La villa des recourants se trouve à plus de dix mètres de la partie la plus rapprochée de la parcelle n° 25. Contrairement à ce qu'ils soutiennent, les gaz d'échappement ne seront pas émis directement sous leurs fenêtres. Dans ces conditions, il y a lieu d'admettre que la voie d'accès projetée n'entraînera pas d'inconvénients majeurs pour les recourants; elle peut être aménagée dans les espaces réglementaires, en vertu de l'art. 39 RLATC, sans qu'il soit nécessaire d'exiger d'autres mesures. c) Les recourants critiquent également les dimensions de la voie d'accès au nord de la parcelle. A l'évidence, la largeur prévue, soit 6 mètres, est suffisante pour manœuvrer avec un véhicule. Enfin, il n'y a pas lieu de se prononcer, dans le présent arrêt, sur l'opportunité d'étudier d'autres voies d'accès (accès par le chemin existant sur la parcelle n°23 préconisé par les recourants), l'accès projeté, par les parcelles n° 23 et 375, étant adapté à l'utilisation prévue, et au surplus garanti par un titre juridique (cf. art. 104 al. 3 LATC). Les griefs des recourants à propos des surfaces d'accès et de stationnement, mal fondés, sont partant rejetés. Il y a lieu de préciser que, sur ce point, les pièces du dossier sont suffisamment claires, de sorte qu'il n'est pas nécessaire d'ordonner l'inspection locale requise par les constructeurs (cf. ATF 137 III 208 consid. 2.2).</w:t>
      </w:r>
    </w:p>
    <w:p>
      <w:r>
        <w:rPr>
          <w:b/>
        </w:rPr>
        <w:t>E. 3</w:t>
      </w:r>
    </w:p>
    <w:p>
      <w:r>
        <w:t>Les recourants émettent des doutes sur la hauteur réglementaire des bâtiments projetés. a) Les règles sur la hauteur applicables dans la zone de villas figurent à l'art. 3.24 RPGAPC, dont la teneur est la suivante: "La hauteur de la façade à la sablière ou à l'acrotère (ou toute autre disposition constructive équivalente) est fixée à 4.50 m. Toutefois, dans les terrains dont la pente est un élément déterminant, la Municipalité peut autoriser en façade aval exclusivement, une hauteur supérieure à celle fixée à l'alinéa précédent, mais n'excédant pas 5.50 m. La hauteur maximale de la construction au faîte ou à l'acrotère de l'attique [est] de 7 m. La surface des combles est limitée à 3/5 du niveau inférieur. Ces hauteurs sont mesurées conformément à l'art. 4.11 ci-après." Conformément à l'art. 4.11 RPGAPC, la hauteur est déterminée en tout point de chaque façade à partir du niveau du terrain naturel ou aménagé en déblai. b)  Les recourants formulent leur critique de manière très générale ou abstraite, sans indiquer précisément à quel point de mesure la hauteur à la sablière (4.50 m) ou au faîte (7 m) pourrait être dépassée. Or, d'après les plans, ni les sablières, ni le faîte (mesurés sur les coupes des façades pignon) ne sont à une hauteur excessive. Comme le relève la municipalité dans sa réponse, ces éléments ont été vérifiés par le Service technique intercommunal, qui a admis le caractère réglementaire du projet, et on ne voit pas en quoi le résultat de cette vérification serait contestable. Les griefs des recourants à ce propos doivent être rejetés.</w:t>
      </w:r>
    </w:p>
    <w:p>
      <w:r>
        <w:rPr>
          <w:b/>
        </w:rPr>
        <w:t>E. 4</w:t>
      </w:r>
    </w:p>
    <w:p>
      <w:r>
        <w:t>Il résulte des considérants que le recours, entièrement mal fondé, doit être rejeté. Cela entraîne la confirmation de la décision attaquée. Les recourants, qui succombent, supporteront les frais de justice (art. 49 LPA-VD). La municipalité, assistée d'un avocat, et les constructeurs, assistés d'un agent d'affaires breveté, ont droit à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