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AC.2016.0035 vom 16. Juni 2016</w:t>
      </w:r>
    </w:p>
    <w:p>
      <w:r>
        <w:t>VD Tribunal cantonal, 2016-06-16, FR</w:t>
      </w:r>
    </w:p>
    <w:p>
      <w:r>
        <w:rPr>
          <w:b/>
        </w:rPr>
        <w:t xml:space="preserve">Quelle: </w:t>
      </w:r>
      <w:r>
        <w:t>https://mcp.opencaselaw.ch/entscheid/vd_omni_AC.2016.0035</w:t>
      </w:r>
    </w:p>
    <w:p>
      <w:r>
        <w:t>FR: VD_OMNI AC.2016.0035 du 16 juin 2016</w:t>
      </w:r>
    </w:p>
    <w:p>
      <w:r>
        <w:t>IT: VD_OMNI AC.2016.0035 del 16 giugno 2016</w:t>
      </w:r>
    </w:p>
    <w:p>
      <w:pPr>
        <w:pStyle w:val="Heading2"/>
      </w:pPr>
      <w:r>
        <w:t>Regeste</w:t>
      </w:r>
    </w:p>
    <w:p>
      <w:r>
        <w:t>RUMLEY c/ Municipalité de Bullet, LEUBA-DIT-GAILLAND, HOFFMANN | La réduction des zones à bâtir surdimensionnées relève exclusivement de la procédure de planification et n'a pas sa place dans la procédure de permis de construire. La modification de la LAT du 15 juin 2012, en vigueur depuis le 1er mai 2014, ne remet a priori pas en cause le droit des propriétaires d'obtenir un permis de construire pour un projet conforme à un plan en vigueur.</w:t>
      </w:r>
    </w:p>
    <w:p>
      <w:pPr>
        <w:pStyle w:val="Heading2"/>
      </w:pPr>
      <w:r>
        <w:t>Erwägungen</w:t>
      </w:r>
    </w:p>
    <w:p>
      <w:r>
        <w:rPr>
          <w:b/>
        </w:rPr>
        <w:t>E. 1</w:t>
      </w:r>
    </w:p>
    <w:p>
      <w:r>
        <w:t>L'art. 75 de la loi sur la procédure administrative du 28 octobre 2008 (LPA-VD; RSV 173.36) réserve la qualité pour recourir à celui qui a pris part à la procédure devant l'autorité précédente et qui est atteint par la décision attaquée et qui dispose d'un intérêt digne de protection à ce qu'elle soit annulée ou modifiée. En l'espèce, les recourants sont des voisins immédiats du projet de construction litigieux. La jurisprudence leur reconnaît en général un intérêt digne de protection à contester un permis de construire délivré sur la parcelle voisine. En revanche, le dossier transmis par la municipalité ne contient aucune opposition de leur part qui aurait été déposée durant le délai d'enquête. C'est que la municipalité n'a pas fourni le dossier original et complet qui lui a été demandé selon la pratique habituelle. Par exemple, on n'y trouve pas la communication par laquelle elle a probablement informé les constructeurs de sa décision. On n'y trouve d'ailleurs même pas la décision attaquée. Il est cependant établi que les recourants ont formulé une opposition datée du 12 novembre 2015, qui figure dans les pièces qu’ils ont jointes au recours. Les recourants remplissent donc la condition d'avoir participé à la procédure devant l'autorité précédente au sens de l'art. 75 LPA-VD cité plus haut. Comme les recourants l'indiquent, la décision du 14 décembre 2015 n'a pas pu leur être notifiée avant le 15 du même mois. Le délai de recours de 30 jours (art. 77 et 99 LPA-VD) a couru deux jours avant les ferries, puis il a été suspendu par celles-ci (art. 96 LPA-VD) du 18 décembre au</w:t>
      </w:r>
    </w:p>
    <w:p>
      <w:r>
        <w:rPr>
          <w:b/>
        </w:rPr>
        <w:t>E. 2</w:t>
      </w:r>
    </w:p>
    <w:p>
      <w:r>
        <w:t>Les recourants invoquent une application erronée des art. 114 et 116 LATC parce que la municipalité s'est limitée à lever l'opposition sans statuer sur la délivrance du permis de construire. Les art. 114 et 116 LATC prévoient notamment ce qui suit: Art. 114 -. Délai de la décision municipale 1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 Art. 116 - Avis aux opposants 1 Les auteurs d'oppositions motivées ou d'observations sont avisés de la décision accordant ou refusant le permis, avec l'indication des dispositions légales et réglementaires invoquées, lorsque l'opposition est écartée. Ces dispositions s'inscrivent dans le cadre désormais régi par l'art. 42 LPA-VD, qui exige en particulier que toute décision indique les faits, les règles juridiques et les motifs sur lesquels elle s'appuie, ainsi que la voie de recours (art. 42 let. c et f). Selon la jurisprudence constante, les art. 114 et 116 LATC ne sont pas respectés lorsque la municipalité se contente de déclarer qu'elle lève l'opposition sans délivrer le permis de construire (v. p. ex AC.2013.0388 du 19 décembre 2014; AC.2012.0385 du 11 octobre 2013; AC.2010.0353 du 23 décembre 2011; AC.2010.0162 du 16 août 2011; AC.2010.00135 du 15 avril 2011). La jurisprudence du Tribunal fédéral considère également que la décision de délivrer l'autorisation de construire et la décision de lever les oppositions doivent intervenir simultanément (ATF 1C_459/2015 du 16 février 2016; 1C_445/2014 du 12 janvier 2015 consid. 2.3). Dans une affaire où la municipalité s'était limitée à prononcer la levée des oppositions sans délivrer le permis de construire ni communiquer (autrement qu'aux constructeurs) les conditions attachées au permis de construire, le Tribunal fédéral a annulé l'arrêt qui confirmait la décision municipale pour le motif que ce procédé vide de leur portée les art. 114 et 116 LATC , viole le principe de l'égalité des parties , entraîne une insécurité juridique et contrevient au principe de la coordination des procédures de l'art. 25a al. 2 let. d LAT (1C_445/2014 du 12 janvier 2015). Ainsi, le projet doit faire l'objet d'une seule décision d'ensemble notifiée, dans une teneur identique, simultanément à tous les intéressés, en particuliers aux constructeurs et aux opposants (v. p. ex. AC.2014.0126 du 25 juin 2014; AC.2013.0342 du 18 août 2014; AC.2012.0105 du 6 septembre 2012; AC.2011.0082 du 27 juillet 2012; AC.2010.0353 du 23 décembre 2011 et les nombreuses références citées). Les opposants doivent connaître exactement la teneur de l'autorisation de construire qui a été délivrée (et non une transcription partielle ou transformée de la décision) afin de pouvoir se déterminer en connaissance de cause sur un éventuel recours (récemment AC.2013.0375 du 31 juillet 2015; AC.2014.0070 du 27 mai 2015 et les nombreuses références citées). Il s'agit d'éviter que des conditions ou des charges qui auraient été annoncées aux opposants ne se retrouvent finalement pas ou plus dans le permis de construire délivré au constructeur (pour un cas de ce genre: AC.2015.0236 du 18 mars 2016 ). Inversement, le principe de l'égalité des parties requiert que le constructeur ait connaissance des motifs notifiés aux opposants, ne serait-ce que pour pouvoir se déterminer utilement dans une éventuelle procédure de recours. On relèvera surtout qu'en adressant aux opposants une décision différente que celle qu'elle adresse au constructeur, sous la forme du permis de construire et de ses éventuelles annexes, la municipalité crée le risque que les opposants puissent recourir après l'échéance du délai de recours, en invoquant le principe de la bonne foi, pour contester des éléments qui ne leur auraient pas été communiqués à l'origine (AC.2002.0242 du 22 mai 2003). En l'espèce, les recourants invoquent à juste titre une violation des règles ci-dessus: la municipalité s'est limitée à lever l'opposition sans délivrer le permis de construire. On ignore même, puisque la municipalité n'a pas fourni au tribunal la communication qu'elle a probablement adressée aux constructeurs, si elle a réellement astreint ceux-ci à réduire la hauteur du garage projeté. Il n'y a pas lieu d'examiner s'il est possible de réparer ce vice en procédure de recours car la décision municipale doit de toute manière être annulée pour les différents motifs qui suivent.</w:t>
      </w:r>
    </w:p>
    <w:p>
      <w:r>
        <w:rPr>
          <w:b/>
        </w:rPr>
        <w:t>E. 3</w:t>
      </w:r>
    </w:p>
    <w:p>
      <w:r>
        <w:t>La municipalité se déclare surprise que le recours conteste le bâtiment principal alors que l'opposition déclarait l'admettre. Relevant que l'opposition formée le 12 novembre 2015 par les recourants portait uniquement sur la dépendance, à savoir le garage, les constructeurs tiennent pour irrecevable la contestation des recourants dirigées contre le bâtiment d'habitation. Ils invoquent à cet égard l'art. 317 du Code de procédure civile. Le Code de procédure civile fédéral du 19 décembre 2008 (CPC; RS 272) n'est pas applicable en l'espèce. La procédure devant la Cour de droit administratif et public du Tribunal cantonal est régie par la loi cantonale sur la procédure administrative du 28 octobre 2008 (LPA-VD; RSV 173.36): comme l'indique son article premier, cette loi régit la procédure devant les autorités administratives et les autorités de justice administrative du canton et des communes. L'art. 79 LPA-VD a la teneur suivante : " 1 L'acte de recours doit être signé et indiquer les conclusions et motifs du recours. La décision attaquée est jointe au recours. 2 Le recourant ne peut pas prendre des conclusions qui sortent du cadre fixé par la décision attaquée. Il peut en revanche présenter des allégués et moyens de preuve qui n'ont pas été invoqués jusque-là. Ainsi, c'est la décision attaquée (et non la teneur de l'opposition) qui fixe l'objet du litige. Comme la décision municipale rendue en l'espèce concerne l'ensemble du projet mis à l'enquête, les recourants peuvent contester le bâtiment d'habitation même si l'opposition ne visait à première vue que le garage. On notera au passage que de toute manière et à première vue, l'art. 317 CPC invoqué par les recourants ne concerne pas la recevabilité des conclusions (à savoir ce qu'une partie peut demander en justice) mais celle de savoir si des faits et moyens de preuve nouveaux (à savoir des allégations de fait des parties) peuvent être invoqués en instance d'appel.</w:t>
      </w:r>
    </w:p>
    <w:p>
      <w:r>
        <w:rPr>
          <w:b/>
        </w:rPr>
        <w:t>E. 4</w:t>
      </w:r>
    </w:p>
    <w:p>
      <w:r>
        <w:t>Ces constructions ne peuvent être autorisées que pour autant qu'elles n'entraînent aucun préjudice pour les voisins.</w:t>
      </w:r>
    </w:p>
    <w:p>
      <w:r>
        <w:rPr>
          <w:b/>
        </w:rPr>
        <w:t>E. 5</w:t>
      </w:r>
    </w:p>
    <w:p>
      <w:r>
        <w:t>Les recourants invoquent l'art. 75b de la Constitution fédérale et l'ordonnance du Conseil fédéral du 22 août 2012 sur les résidences secondaires, relevant que Bullet figurent dans la liste des communes qui comptent une proportion de résidence secondaire supérieure à 20 % du parc de logements. La loi fédérale sur les résidences secondaires du 20 mars 2015 (LRS; RS 702) est entrée en vigueur le 1 er janvier 2016. Selon l'art. 25 al. 1 LRS, elle s'applique aux demandes d'autorisation de construire qui sont contestées par recours après son entrée en vigueur. Le recours ayant été déposé le 1 er février 2016, cette loi est applicable en l'espèce, de même que l'ordonnance sur les résidences secondaires du 4 décembre 2015 (ORSec; RS 702.1), également entrée en vigueur le 1 er janvier 2016 (pour plus de détails sur la disposition transitoire de l'art. 25 LRS, interprétée à la lueur de ses textes allemand et italien: AC.2015.0053 du 23 mars 2016, consid. 1). L'art. 7 LRS prévoit notamment ce qui suit : Chapitre 4 Création de nouveaux logements dans les communes comptant une proportion de résidences secondaires supérieure à 20 % Section 1 Nouveaux logements soumis à une restriction d'utilisation Art. 7 1 Dans les communes qui comptent une proportion de résidences secondaires supé- rieure à 20 %, de nouveaux logements ne peuvent être autorisés qu'à la condition d'être utilisés: a.           comme résidence principale ou comme logement assimilé à une résidence principale au sens de l'art. 2, al. 3; ou b.           comme logement affecté à l'hébergement touristique. 2 (...) 3 L'autorité compétente pour les autorisations de construire assortit son autorisation d'une charge sous la forme d'une restriction d'utilisation au sens de l'al. 1, let. a, ou de l'al. 2, let. a ou b. Si l'autorisation de construire n'est pas assortie d'une telle charge et qu'il ne s'agit pas d'une autorisation au sens des art. 8, 9, 26 ou 27, il est présumé que la restriction d'utilisation visée à l'al. 1, let. a, s'applique. 4 Immédiatement après l'entrée en force de l'autorisation de construire, l'autorité compétente pour les autorisations de construire ordonne à l'office du registre foncier de mentionner au registre la restriction d'utilisation relative au bien-fonds concerné. Quant à l'ordonnance sur les résidences secondaires du 4 décembre 2015, elle prévoit ce qui suit: Section 2 Création de nouveaux logements Art. 3 Mention au registre foncier 1 La servitude à mentionner au registre foncier en vertu de la LRS pour les logements soumis à une restriction d'utilisation doit avoir la teneur suivante: a.           résidence principale ou logement assimilé à une résidence principale au sens de l'art. 7, al. 1, let. a, LRS; b.           (...) c.           (...) 2 La mention au registre foncier doit en outre comprendre, pour chaque logement, les numéros d'identification (EGID et EWID), conformément à l'art. 5, al. 2, let. a et b, de l'ordonnance du 31 mai 2000 sur le Registre fédéral des bâtiments et des logements 1 . Ce régime ne diffère guère, du moins pour les cas semblables à celui de la présente cause, de celui qu'instaurait l'ordonnance sur les résidences secondaires du Conseil fédéral du 22 août 2012, dont il résultait déjà que dans les communes où le taux de 20 % de résidences secondaires est dépassé, l'autorisation de construire des logements ne peut être délivrée qu'à la condition que leur utilisation comme résidence principale soit imposée dans le permis de construire et mentionnée au registre foncier, le permis de construire pouvant cependant être refusé en cas d'abus de droit manifeste (p. ex. AC.2013.0057 du 5 juin 2014). La Commune de Bullet figure dans l'annexe de l'ORSec qui énumère les communes où la proportion de résidences secondaires est présumée supérieure à 20 %. Elle figurait d'ailleurs déjà dans l'annexe de l'ordonnance du Conseil fédéral sur les résidences secondaires, du 22 août 2012. La municipalité intimée semble avoir ignoré les dispositions ci-dessus, qu'elle n'évoque ni dans la décision attaquée, ni dans sa réponse au recours. Les constructeurs intimés se déterminent dans leur réponse du 2 mars 2016 en exposant que la municipalité est au courant de leur intention de s'établir en qualité de résidents permanents, soulignant qu'ils vivent depuis de nombreuses années dans le village voisin de Sainte-Croix. Il n'appartient pas au Tribunal cantonal de statuer, comme s'il était l'autorité de première instance, sur l'application des dispositions fédérales relatives aux résidences secondaires. Il y a donc lieu d'annuler la décision attaquée et de renvoyer le dossier à la municipalité pour nouvelle décision.</w:t>
      </w:r>
    </w:p>
    <w:p>
      <w:r>
        <w:rPr>
          <w:b/>
        </w:rPr>
        <w:t>E. 6</w:t>
      </w:r>
    </w:p>
    <w:p>
      <w:r>
        <w:t>Les recourants font valoir, en substance, que la zone à bâtir de Bullet est surdimensionnée et qu'elle devrait être réduite en application de l'art. 15 LAT. Les recourants perdent de vue que les arrêts du Tribunal fédéral qu'ils citent ( 1C_449/2014 du 7 octobre 2015, publié aux ATF 141 II 393; 1C_568/2014 du 13 janvier 2016) concernent des procédures de planification tendant à l'adoption de plans d'affectation et non pas comme en l'espèce une procédure de délivrance d'un permis de construire. La Cour de droit administratif et public du Tribunal cantonal a déjà jugé à de nombreuses reprises que la réduction des zones à bâtir surdimensionnées relève exclusivement de la procédure de planification et n'a pas sa place dans la procédure de permis de construire (AC.2015.0091 du 24 mars 2016; AC.2014.0013 du 2 novembre 2015 consid. 3). La modification de la LAT du 15 juin 2012, en vigueur depuis le 1 er mai 2014, ne remet a priori pas en cause le droit des propriétaires d'obtenir un permis de construire pour un projet conforme à un plan en vigueur (cf. notamment AC.2014.0389 du 15 décembre 2015, consid. 1; AC.2014.0314 du 4 septembre 2015). Le grief est donc mal fondé.</w:t>
      </w:r>
    </w:p>
    <w:p>
      <w:r>
        <w:rPr>
          <w:b/>
        </w:rPr>
        <w:t>E. 7</w:t>
      </w:r>
    </w:p>
    <w:p>
      <w:r>
        <w:t>Il résulte de ce qui précède que la décision attaquée doit être annulée et le dossier renvoyé à la municipalité pour nouvelle décision. Il appartiendra à l'autorité intimée de statuer à nouveau de manière complète sur les points que le présent arrêt laisse indécis, ainsi que sur les autres points litigieux.</w:t>
      </w:r>
    </w:p>
    <w:p>
      <w:r>
        <w:rPr>
          <w:b/>
        </w:rPr>
        <w:t>E. 8</w:t>
      </w:r>
    </w:p>
    <w:p>
      <w:r>
        <w:t>Selon les art. 49 et 55 de la loi du 28 octobre 2008 sur la procédure administrative (LPA-VD ; RSV 173.36), les frais et les dépens sont mis à la charge de la partie qui succombe. Toutefois, d'après la jurisprudence (voir le rappel et les nombreuses références jurisprudentielles dans l'arrêt AC.2010.0272 du 28 octobre 2011),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La règle n'est toutefois pas absolue. Si les circonstances le justifient, les frais peuvent être mis à charge de la commune. Tel est le cas lorsque les frais de procédure sont entraînés exclusivement par une erreur administrative ou lorsque la municipalité se fait en quelque sorte le porte-parole des très nombreux opposants qui sont intervenus dans la procédure de mise à l'enquête. Finalement, si l'équité l'exige, l'émolument peut être réparti entre la commune et les opposants. En l'espèce, il serait choquant de mettre les frais de la procédure à la charge des constructeurs car l'issue de la cause est essentiellement imputable à la municipalité: celle-ci a statué sans respecter les dispositions des art. 114 et 116 LATC, elle a calculé la surface bâtie sans tenir compte du texte du règlement communal et n'a pas démontré en l'état la pratique dérogatoire invoquée, et enfin elle semble avoir ignoré totalement les dispositions fédérales sur les résidences secondaires. Il y a donc lieu de mettre un émolument à la charge de la commune, qui doit des dépens aux recourants qui sont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