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AC.2015.0336 vom 2. Juni 2016</w:t>
      </w:r>
    </w:p>
    <w:p>
      <w:r>
        <w:t>VD Tribunal cantonal, 2016-06-02, FR</w:t>
      </w:r>
    </w:p>
    <w:p>
      <w:r>
        <w:rPr>
          <w:b/>
        </w:rPr>
        <w:t xml:space="preserve">Quelle: </w:t>
      </w:r>
      <w:r>
        <w:t>https://mcp.opencaselaw.ch/entscheid/vd_omni_AC.2015.0336</w:t>
      </w:r>
    </w:p>
    <w:p>
      <w:r>
        <w:t>FR: VD_OMNI AC.2015.0336 du 2 juin 2016</w:t>
      </w:r>
    </w:p>
    <w:p>
      <w:r>
        <w:t>IT: VD_OMNI AC.2015.0336 del 2 giugno 2016</w:t>
      </w:r>
    </w:p>
    <w:p>
      <w:pPr>
        <w:pStyle w:val="Heading2"/>
      </w:pPr>
      <w:r>
        <w:t>Regeste</w:t>
      </w:r>
    </w:p>
    <w:p>
      <w:r>
        <w:t>GOLAY, HUBERT,(ROSAT), DREIER c/Municipalité de Bex, DESPONT, | Projet de 4 villas de 2 niveaux accolées au rez-de-chaussée par un local technique/buanderie et à l'étage par un "réduit" accessible depuis une chambre à coucher. La décision attaquée est suffisamment motivée (consid. 3). Respect du CUS: les escaliers ne doivent être comptés qu'à une reprise; les "réduits" à l'étage sont des locaux habitables: bien que sans ouverture et n'étant que faiblement isolés sur les deux petits côtés, leur surface est celle d'une chambre et ils sont accessibles depuis des chambres à coucher et tout porte ainsi à croire qu'ils seront utilisés en tant que "dressings", qui sont conformément à la jurisprudence des locaux habitables. Il en découle que leur surface doit être comptabilisée et que le CUS admissible est partant largement dépassé (consid. 4). Recours admis.</w:t>
      </w:r>
    </w:p>
    <w:p>
      <w:pPr>
        <w:pStyle w:val="Heading2"/>
      </w:pPr>
      <w:r>
        <w:t>Erwägungen</w:t>
      </w:r>
    </w:p>
    <w:p>
      <w:r>
        <w:rPr>
          <w:b/>
        </w:rPr>
        <w:t>E. 1</w:t>
      </w:r>
    </w:p>
    <w:p>
      <w:r>
        <w:t>La recourante Laurence Dreier ayant déclaré en cours de procédure retirer son recours, la cause AC.2015.0336 doit être rayée du rôle. Recours AC.2015.0336</w:t>
      </w:r>
    </w:p>
    <w:p>
      <w:r>
        <w:rPr>
          <w:b/>
        </w:rPr>
        <w:t>E. 2</w:t>
      </w:r>
    </w:p>
    <w:p>
      <w:r>
        <w:t>A titre de mesure d'instruction, les recourants requièrent la mise en œuvre d'une inspection locale et d'une expertise concernant le bilan thermique.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les constructeurs et l'autorité intimée ainsi que les plans soumis à l'enquête publique, rendant superflue la tenue d'une inspection locale. Pour le reste, les recourants, les constructeurs et l'autorité intimée ont pu faire valoir leurs arguments lors du double échange d'écritures intervenu dans la présente procédure. Il y a dès lors lieu de rejeter la requête tendant à la tenue d'une audience avec inspection locale. Quant à la requête de mise en œuvre d'une expertise relative au bilan thermique, il y a lieu de la rejeter vu l'issue du recours.</w:t>
      </w:r>
    </w:p>
    <w:p>
      <w:r>
        <w:rPr>
          <w:b/>
        </w:rPr>
        <w:t>E. 3</w:t>
      </w:r>
    </w:p>
    <w:p>
      <w:r>
        <w:t>Dans un premier grief d'ordre formel, les recourants soutiennent que la décision entreprise est insuffisamment motivée et que leur droit d'être entendus a été violé. a) Selon l’art. 42 de la loi du 28 octobre 2008 sur la procédure administrative (LPA-VD; RSV 173.36),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Le droit d'être entendu prévu par les art. 29 al. 2 Cst., 17 al. 2 de la Constitution du Canton de Vaud du 14 avril 2003 (Cst-VD; RSV 101.01) et 33 ss LPA-VD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l'autorité intimée a répondu point par point aux griefs soulevés par les recourants dans leurs oppositions respectives. S'agissant des modifications apportées au projet soumis à l'enquête publique, l'autorité intimée a en particulier précisé, pour chaque point concerné, que la remarque des opposants avait été prise en considération et le projet modifié en conséquence; dès lors qu'il en ressort que les modifications apportées ont donné suite aux critiques soulevées par les opposants, ces derniers ne sauraient reprocher à l'autorité intimée de n'avoir pas exposé dans quelle mesure les points corrigés étaient désormais conformes à la règlementation applicable. Quant à l'exigence de soumission à enquête publique complémentaire de ces modifications, il convient de rappeler que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(arrêts AC.2014.0365 du 4 décembre 2015 consid. 1a; AC.2013.0227 du 18 septembre 2014 consid. 1a; AC.2014.0015 du 30 juin 2014 consid. 2b; AC.2013.0161 du 30 octobre 2013 consid. 2a). Les recourants déclarent enfin " émett [re] toutes réserves " au sujet du fait que " certains aspects du projet paraissent devoir impliquer " des services de l'Etat qui n'ont pas été consultés, sans toutefois exposer les bases légales sur lesquelles ils se fondent. Dès lors que ce grief ne répond pas à l'exigence minimale de motivation posée par l'art. 79 al. 1 LPA-VD, il est irrecevable. Mal fondé, le grief relatif à la motivation et au droit d'être entendu doit être rejeté dans la mesure de sa recevabilité.</w:t>
      </w:r>
    </w:p>
    <w:p>
      <w:r>
        <w:rPr>
          <w:b/>
        </w:rPr>
        <w:t>E. 4</w:t>
      </w:r>
    </w:p>
    <w:p>
      <w:r>
        <w:t>Sur le fond, les recourants font valoir que l'indice d'utilisation du sol (IUS) posé par le RPE n'est pas respecté. a) Conformément à l'art. 35 RPE, l'indice d'utilisation est limité à 0.45 au maximum dans la zone d'habitat à moyenne densité. L'art. 217 RPE quant à lui prévoit que l'indice d'utilisation est déterminé comme suit: "L'indice d'utilisation de la parcelle est le rapport entre la surface habitable brute des planchers et la surface de la parcelle. La surface habitable brute des planchers d'un bâtiment s'obtient en additionnant la surface des différents étages, calculée sur la base des dimensions extérieures des façades du bâtiment. N'entrent pas en ligne de compte dans le calcul: les surfaces des balcons, garages incorporés aux bâtiments, sous-sols et les parties du rez-de-chaussée qui ne sont destinées ni à l'habitation, ni à des fins commerciales. L'art. 225, alinéa 2, est réservé." b) En l'occurrence, la parcelle litigieuse présente une surface de 1'120 m 2 , ce qui autorise, avec un indice d'utilisation de 0.45, une surface habitable brute des planchers (ci-après: SHBP) de 504 m 2 . Or, la demande de permis de construire en annonce 503, alors que les recourants font valoir qu'il aurait fallu y ajouter les cages d'escaliers ainsi que les "réduits" situés à l'étage. Selon le calcul effectué par les recourants, la SHBP s'élève à 263.34 m 2 pour les quatre rez-de-chaussée et à 312.42 m 2 pour les quatre étages et atteint ainsi 575.76 m 2 pour les quatre unités d'habitation, surface des "réduits" comprise; dans leur calcul, ils ont compté la surface des escaliers pour chaque étage, c'est-à-dire à deux reprises pour chaque habitation. L'autorité intimée, quant à elle, a précisé que la surface des cages d'escalier avait été comptée une seule fois alors que les réduits n'avaient pas été pris en compte en raison du fait qu'ils n'étaient pas isolés et étaient de ce fait inhabitables. Deux points doivent ainsi être examinés: en premier lieu, il s'agit de déterminer si la surface des escaliers devait être comptabilisée une ou deux fois. En second lieu, il se pose la question de savoir si les surfaces désignées comme "réduits" et adjacentes à une chambre située à l'étage de chacune des habitations doivent être prises en considération dans le calcul de l'indice d'utilisation du sol. c) aa) Comme le tribunal de céans a pu le relever dans un arrêt AC.2013.0228 du 22 juillet 2014 (consid. 7 c/aa), l'art. 217 RPE constitue une réglementation relativement usuelle, dont le texte clair exclut un certain nombre d'éléments de construction du calcul de la surface brute des planchers. Les escaliers ne figurent pas dans cette énumération et il n'est au demeurant pas contesté que leur surface doit être prise en compte à une reprise au moins. Or, dès lors que les habitations litigieuses ne comportent que deux étages, sans sous-sol ni combles, il y a lieu de ne compter la surface des escaliers qu'à une seule reprise, puisqu'au niveau supérieur, cette surface correspond à un vide. La SHBP est ainsi déterminée comme suit: - pour les rez-de-chaussée et les étages des trois villas de dimensions identiques: 2 (nombre de niveaux) x 3 (nombre de villas) x 5.36 (largeur) x 12.67 (longueur), soit 407.47 m 2 ; - pour le rez-de-chaussée de la quatrième villa, située au sud: 5.36 x 11.12, soit 59.60 m 2 ; - pour l'étage de la quatrième villa, située au sud: 5.36 x 8.96 = 48.02 m 2 . On obtient ainsi un résultat, sans les "réduits" mais avec la cage d'escaliers comptée une seule fois, de 503.39 m 2 (515.09 – [4 x 0.90 x 3.25], étant précisé que les locaux techniques/buanderies au rez-de-chaussée n'ont pas été pris en compte, ce qui n'est pas contesté. La SHBP maximale autorisée pour la parcelle n° 5'448, soit 504 m 2 , serait ainsi tout juste respectée si les réduits ne devaient pas être pris en compte. bb) Quant aux locaux désignés comme "réduits" dans les plans d'enquête, présentant chacune une surface nette (sans les murs) de 14.35 m 2 , ils ne sont eux aussi pas expressément exclus par le texte de l'art. 217 RPE. Au contraire, seules les "parties du rez-de-chaussée qui ne sont destinées ni à l'habitation, ni à des fins commerciales" sont expressément exclues de la surface habitable brute des planchers, et non les mêmes surfaces situées aux étages. Pour déterminer si un local doit être pris en considération dans le calcul de l'IUS ou coefficient d'utilisation du sol (CUS), il convient de déterminer s'il est habitable. A cet égard, la jurisprudence a précisé que la seule intention subjective des constructeurs ne jouait pas un rôle décisif (arrêts AC.2009.0039 du 24 août 2009, consid. 5b; AC.2007.0240 du 31 décembre 2008, consid. 9a). Dans le cadre de cet examen, il convient dans un premier temps de déterminer si les conditions d'éclairage et d'accessibilité permettent objectivement une utilisation à des fins d'habitation (v. notamment RDAF 1972 p. 275).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Le tribunal de céans a déjà eu l'occasion de juger qu'un réduit comportant deux armoires, apparaissant comme un dressing-room, est une surface habitable (arrêt AC.2005.0199 du 3 novembre 2006, consid. 6b; voir également arrêt AC.2015.0087 du 9 février 2016, consid. 3b). En l'occurrence, les réduits, qui présentent chacun une surface nette de 14.35 m 2 , comparable à la surface d'une chambre, ne paraissent pas pourvus d'une isolation aussi épaisse que le solde du bâtiment. Trois d'entre eux sont toutefois insérés entre deux façades isolées et seuls leurs deux petits côtés sont moins isolés; par ailleurs, selon les plans d'enquête, une isolation minimale paraît être prévue même pour les petits côtés, respectivement un grand côté du réduit situé le plus au sud. En outre, s'ils ne bénéficient pas d'un éclairage naturel (absence de fenêtre), leur hauteur est identique à celle du reste de l'habitation et ils sont chacun directement accessibles depuis une chambre à coucher d'une surface de 12.25 m 2 . Il convient enfin de relever que sous l'angle des mesures de protection contre les incendies, la porte d'accès à ces "réduits" depuis la chambre à coucher n'apparaît pas présenter un niveau de protection particulier, contrairement à la porte correspondante permettant l'accès au "local technique/buanderie" au rez-de-chaussée qui est une porte de catégorie "REI 30", ce qui est un élément supplémentaire plaidant en faveur d'une pièce considérée comme appartenant à la surface habitable du logement, même si elle n'est apparemment pas munie de chauffage. Tout porte ainsi à croire que les réduits, attenants à une chambre à coucher, seront utilisés comme dressing-rooms, soit comme une surface habitable, et leur surface doit par conséquent être prise en compte dans la SHBP. Ce sont ainsi 15.45 m 2 (2.50 x 6.18 pour la villa au sud) et 45.24 m 2 (3 x 2.44 x 6.18 pour les trois autres villas), soit un total de 60.69 m 2 , qui doivent être ajoutés à la SHBP calculée ci-dessus, ce qui conduit à une SHBP totale de 564.08 m 2 (503.39 + 60.69 m 2 ) et donc à un dépassement de la surface autorisée de 504 m 2 . Pour ce motif, le recours doit être admis et la décision attaquée, annulée.</w:t>
      </w:r>
    </w:p>
    <w:p>
      <w:r>
        <w:rPr>
          <w:b/>
        </w:rPr>
        <w:t>E. 5</w:t>
      </w:r>
    </w:p>
    <w:p>
      <w:r>
        <w:t>Vu l'issue de la procédure, il n'est pas nécessaire de traiter les autres griefs soulevés par les recourants. Sur la base d'un examen sommaire du dossier, il apparaît cependant que les griefs concernant en particulier l'accès à la parcelle et le nombre de places de stationnement sont mal fondés.</w:t>
      </w:r>
    </w:p>
    <w:p>
      <w:r>
        <w:rPr>
          <w:b/>
        </w:rPr>
        <w:t>E. 6</w:t>
      </w:r>
    </w:p>
    <w:p>
      <w:r>
        <w:t>Il résulte de ce qui précède qu'à la suite du retrait de son recours par la recourante 5, la cause AC.2015.0336 doit être rayée du rôle. Le recours AC.2015.0337 doit être admis et les décisions attaquées ainsi que le permis de construire délivré le 4 novembre 2015, annulés. Succombant, les constructeurs supportent les frais de justice ainsi que des dépens en faveur des recourants 1-4, qui ont agi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