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AC.2015.0231 vom 11. April 2016</w:t>
      </w:r>
    </w:p>
    <w:p>
      <w:r>
        <w:t>VD Tribunal cantonal, 2016-04-11, FR</w:t>
      </w:r>
    </w:p>
    <w:p>
      <w:r>
        <w:rPr>
          <w:b/>
        </w:rPr>
        <w:t xml:space="preserve">Quelle: </w:t>
      </w:r>
      <w:r>
        <w:t>https://mcp.opencaselaw.ch/entscheid/vd_omni_AC.2015.0231</w:t>
      </w:r>
    </w:p>
    <w:p>
      <w:r>
        <w:t>FR: VD_OMNI AC.2015.0231 du 11 avril 2016</w:t>
      </w:r>
    </w:p>
    <w:p>
      <w:r>
        <w:t>IT: VD_OMNI AC.2015.0231 del 11 aprile 2016</w:t>
      </w:r>
    </w:p>
    <w:p>
      <w:pPr>
        <w:pStyle w:val="Heading2"/>
      </w:pPr>
      <w:r>
        <w:t>Regeste</w:t>
      </w:r>
    </w:p>
    <w:p>
      <w:r>
        <w:t>Golay/Municipalité de Moudon | Autorisations délivrées par la Municipalité à des établissements publics d'aménager trois petites terrasses sur la voie publique pendant la saison d'été. En réponse à une plainte d'un voisin, la Municipalité l'informe de la procédure suivie (dispense d'enquête publique), tout en confirmant qu'à l'avenir elle entend suivre la procédure de mise à l'enquête publique. Recours du voisin qui se plaint de la procédure suivie. Il est douteux que la lettre de la Municipalité constitue une décision au sens de l'art. 3 LPA-VD (question laissée ouverte). Absence d'intérêt actuel à contester la décision en ce qu'elle s'oppose à une situation passée, les autorisations saisonnières étant échues. Dans la mesure où la Municipalité entend procéder à l'avenir par une mise à l'enquête publique de telles installations, le recours n'a plus d'objet.</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Il résulte des considérants qui précèdent que le recours n'a plus d'objet et qu'il convient de rayer la cause du rôle. Succombant, le recourant supportera les frais de justice (art. 49 LPA-VD), ainsi qu'une indemnité à titre de dépens en faveur de la Commune de Moudon qui a procédé avec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