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AC.2015.0229 vom 26. Februar 2016</w:t>
      </w:r>
    </w:p>
    <w:p>
      <w:r>
        <w:t>VD Tribunal cantonal, 2016-02-26, FR</w:t>
      </w:r>
    </w:p>
    <w:p>
      <w:r>
        <w:rPr>
          <w:b/>
        </w:rPr>
        <w:t xml:space="preserve">Quelle: </w:t>
      </w:r>
      <w:r>
        <w:t>https://mcp.opencaselaw.ch/entscheid/vd_omni_AC.2015.0229</w:t>
      </w:r>
    </w:p>
    <w:p>
      <w:r>
        <w:t>FR: VD_OMNI AC.2015.0229 du 26 février 2016</w:t>
      </w:r>
    </w:p>
    <w:p>
      <w:r>
        <w:t>IT: VD_OMNI AC.2015.0229 del 26 febbraio 2016</w:t>
      </w:r>
    </w:p>
    <w:p>
      <w:pPr>
        <w:pStyle w:val="Heading2"/>
      </w:pPr>
      <w:r>
        <w:t>Regeste</w:t>
      </w:r>
    </w:p>
    <w:p>
      <w:r>
        <w:t>THOMSEN/Direction générale de la mobilité et des routes, CONSEIL COMMUNAL D'AIGLE | Projet de réaménagement routier en localité prévoyant la plantation d'arbres le long de la chaussée; recours de voisins, bordiers du domaine public. Le voisin bordier du domaine public peut invoquer les art. 52 à 56 CRF à l'encontre des plantations domaniales, à condition qu'il subisse un des préjudices prévus par l'art. 61 CRF; l'application de ces dispositions appartient dans ce cas à la juridiction administrative et non au juge civil (consid. 2). En l'espèce, aucune des hypothèses prévues à l'art. 61 al. 1 CRF n'est réalisée; les autres dispositions invoquées par les recourants concernent des plantations sur des fonds riverains du domaine public, et non l'inverse, et les recourants ne peuvent se prévaloir d'un droit à l'ensoleillement (consid. 3). Les petits aménagements sur une parcelle privée en lien direct avec le réaménagement du domaine public pouvaient, par économie de procédure, être intégrés à cette dernière procédure prévoyant également une enquête publique (consid. 4). En l'absence d'élément permettant de douter du respect des exigences de sécurité et de visibilité par deux arbres, rejet de ce grief (consid. 5). Recours rejeté dans la mesure de sa recevabilité.</w:t>
      </w:r>
    </w:p>
    <w:p>
      <w:pPr>
        <w:pStyle w:val="Heading2"/>
      </w:pPr>
      <w:r>
        <w:t>Erwägungen</w:t>
      </w:r>
    </w:p>
    <w:p>
      <w:r>
        <w:rPr>
          <w:b/>
        </w:rPr>
        <w:t>E. 1</w:t>
      </w:r>
    </w:p>
    <w:p>
      <w:r>
        <w:t>La municipalité a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 municipalité ainsi que les plans soumis à l'enquête publique, rendant superflue la tenue d'une inspection locale. Pour le reste, les recourants et les autorités intimées ont pu faire valoir leurs arguments lors de l'échange d'écritures intervenu dans la présente procédure. Il y a dès lors lieu de rejeter la requête tendant à la tenue d'une audience avec inspection locale.</w:t>
      </w:r>
    </w:p>
    <w:p>
      <w:r>
        <w:rPr>
          <w:b/>
        </w:rPr>
        <w:t>E. 2</w:t>
      </w:r>
    </w:p>
    <w:p>
      <w:r>
        <w:t>Chacun peut en prendre possession et en acquérir directement la propriété.</w:t>
      </w:r>
    </w:p>
    <w:p>
      <w:r>
        <w:rPr>
          <w:b/>
        </w:rPr>
        <w:t>E. 3</w:t>
      </w:r>
    </w:p>
    <w:p>
      <w:r>
        <w:t>a) La distance minimale entre les arbres et les limites du domaine public, respectivement la parcelle des recourants, est prescrite par l'art. 52 CRF; aux termes de cette disposition, elle est de 50 cm au moins si le fonds voisin n'est pas une vigne ou n'est pas situé en zone agricole ou intermédiaire. En l'occurrence, cette distance est manifestement respectée, dès lors que tous  les arbres litigieux seront plantés le long de la route à une distance minimale de 4 m (voire plus de 12 m) de la limite de propriété avec la parcelle n° 408. S'agissant de la hauteur applicable, il convient de se reporter à l'art. 56 let. b, deuxième tiret, CRF, qui prescrit une hauteur maximale de 9 m. Les recourants pourront ainsi se fonder sur cette disposition, en lien avec les art. 61 al. 1 et 57 CRF, pour exiger l'écimage des arbres dépassant cette taille, dans la mesure toutefois où une des trois hypothèses prévues à l'art. 61 al. 1 CRF est réalisée, étant d'emblée précisé que la deuxième hypothèse apparaît dénuée de pertinence dès lors que l'on n'est pas en présence d'un bien-fonds ou d'un domaine agricoles; les recourants devront ainsi établir que la plantation prive un local d'habitation préexistant de son ensoleillement normal dans une mesure excessive (art. 61 al. 1 let. a CRF) ou qu'ils subissent un préjudice grave du fait de la plantation (étant précisé que n'est pas considéré comme tel le ramassage nécessaire des fruits, fleurs, feuilles et brindilles; cf. art. 61 al. 1 let. c CRF). Certes, le plan de coupe montre que les arbres litigieux devraient atteindre une hauteur supérieure à 9.50 mètres (maximum 10 m); il ressort toutefois du procès-verbal de la séance de conciliation tenue avec l'opposant Benoît Thomsen (cf. p.-v. séance du 18 février 2015, p. 1) que les coupes présentées font état d'une projection de l'évolution des arbres sur une période de vingt ans. A l'heure actuelle, non seulement les arbres ne sont pas encore plantés et n'atteindront ainsi selon toute vraisemblance pas la hauteur critique avant plusieurs années, voire jamais, mais il n'est en outre et surtout pas établi qu'une des hypothèses prévues à l'art. 61 al. 1 CRF serait réalisée, ni à ce jour ni ultérieurement, si bien que ce grief n'est encore qu'hypothétique et n'a ainsi pas à être examiné plus avant à présent. Il en va du reste de même du grief relatif aux désagréments occasionnés par les trois arbres plantés de l'autre côté de la rue du Collège (côté Est), en face des parcelles n os 406 et 408. Il appartiendra ainsi aux recourants de saisir la juridiction administrative en temps opportun. Avec la DGMR, on peut d’ores et déjà relever que les recourants ne démontrent pas qu’ils subiraient une privation excessive d’ensoleillement normal ou un préjudice grave du fait de la plantation des arbres litigieux (cf. art. 61 CRF), étant précisé que de toute manière il existe en l’espèce un intérêt public (cf. art. 66 al. 3 CRF) à offrir aux habitants de la commune une allée d’arbres, soit un "espace-rue" plus convivial, une valorisation de l’espace public afin de recréer une meilleure qualité de vie. Il existe également un intérêt public à augmenter la sécurité du trafic (voir ci-après consid. 5). b) Le Code rural et foncier réserve encore, à son art. 49 al. 1, la législation sur les routes en lien avec les distances imposées aux plantations. Cette disposition rappelle la subsidiarité du CRF, ici en particulier par rapport à la LRou, qui régit tout ce qui a trait à la construction, à l'entretien ou à l'utilisation des routes ouvertes au public et qui font partie du domaine public, cantonal ou communal (art. 1 al. 1 LRou). Son art. 39 al. 1 prévoit que des aménagements extérieurs tels que murs, clôture, haie ou plantation de nature à nuire à la sécurité du trafic, notamment par une diminution de la visibilité, ne peuvent être créés sans autorisation sur les fonds riverains de la route; le règlement d'application fixe les distances et les hauteurs à observer (art. 39 al. 2 LRou), étant précisé que la "route" comprend, outre la chaussée proprement dite, les trottoirs, les places rattachées au domaine public ainsi que les aires de stationnement, notamment (cf. art. 2 al. 1 LRou). Or, dès lors que l'art. 39 LRou concerne les plantations érigées sur les fonds riverains de la route, il n'est pas applicable en l'espèce, puisque les plantations litigieuses doivent prendre place sur la route elle-même - en l'occurrence le trottoir, respectivement entre les aires de stationnement - et non sur un fonds riverain du domaine public. Il en va du reste de même de l'art. 10 RLRou cité par les recourants, qui ne s'applique qu'aux arbres plantés "sur les fonds riverains" des routes (cantonales et communales de première classe, al. 1; autres routes communales, al. 2 qui renvoie au CRF), ainsi que des art. 8 et 9 RLRou, le premier se référant expressément à l'art. 39 LRou, dont on a vu qu'il ne concernait pas les plantations du domaine public, et le second réglant le cas des haies - et non les arbres - plantées sur une parcelle voisine du domaine public, et non sur celui-ci. Il apparaît ainsi qu'aucune disposition de la LRou et de son règlement d'application ne fixe de distance minimale entre un arbre planté sur le domaine public et le fonds voisin et les recourants ne peuvent ainsi en tirer aucune prétention. Mal fondé, ce grief doit partant être rejeté. c) Quant à la vue dont bénéficient les habitants de la rue du Collège 3 (parcelle n° 408), il convient de procéder à un rappel de jurisprudence. Ainsi,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AC.2013.0468 du 28 août 2014 consid. 2d ; AC.2011.0294 du 24 septembre 2012 consid. 2; AC.2011.0216 du 26 mars 2012 et les références). Dans le cas présent, aucune règle communale ne protège spécifiquement le droit à la vue. Les arbres projetés, à supposer qu'ils puissent être assimilés à des "constructions", ne sauraient par conséquent être interdits pour le seul motif qu'ils restreindraient la vue des recourants. Le recours est ainsi également mal fondé sur ce point. Demeure réservée l'application des dispositions du CRF citées ci-dessus (voir consid. 3a).</w:t>
      </w:r>
    </w:p>
    <w:p>
      <w:r>
        <w:rPr>
          <w:b/>
        </w:rPr>
        <w:t>E. 4</w:t>
      </w:r>
    </w:p>
    <w:p>
      <w:r>
        <w:t>Les recourants s'en prennent encore à des " constructions sur des fonds privés ", soit les parcelles n os 110 et 111 situées de l'autre côté (est) de la rue du Collège. Ils font valoir que de telles " modifications " ne peuvent pas faire l'objet de la procédure routière de la LRou hors périmètre de mise à l'enquête de l'art. 13 LRou. a) On peut sérieusement douter de la recevabilité de ce moyen, dès lors qu'il semble sortir de l'objet du litige défini par les conclusions des parties. On ne voit en outre pas quel intérêt pratique les recourants auraient à l'admission de ce grief, qui n'aurait en effet pas pour conséquence de réformer la décision attaquée s'agissant des arbres prévus le long de la rue du Collège ni d'annuler l'ensemble du projet de réaménagement comme ils le souhaitent, mais uniquement de renvoyer le dossier à la municipalité pour nouvelle procédure sur les aménagements spécifiques à la parcelle n° 111. Quoi qu'il en soit, supposé recevable, le grief devrait de toute manière être rejeté (voir ci-après). b) Aux termes de l'art. 1 al. 1 LRou, cette loi régit tout ce qui a trait à la construction, à l'entretien ou à l'utilisation des routes ouvertes au public et qui font partie du domaine public, cantonal ou communal. Conformément à l'art. 13 al. 1 LRou, les projets de construction sont mis à l'enquête publique durant trente jours dans la ou les communes territoriales intéressées. En l'occurrence, il apparaît que les aménagements mis en cause par les recourants (accès, parking vélos 18 places et 3 candélabres) sont destinés à prendre place sur la parcelle n° 111, qui appartient à la Commune d'Aigle mais se situent hors du domaine public. Ils ne sont donc pas soumis à la LRou et la question de la procédure - plan routier ou permis de construire - qui aurait dû être suivie pour ces aménagements peut dès lors se poser. Toutefois, les deux procédures sont identiques s'agissant des droits des personnes intéressées, qui bénéficient ainsi des mêmes garanties de procédure: les deux projets sont soumis à une enquête publique durant laquelle ces personnes - dont les recourants - peuvent faire valoir leurs remarques ou oppositions et ils font tous deux l'objet d'une décision pouvant être contestée devant la même autorité - le tribunal de céans - qui jouit dans les deux cas du même pouvoir de cognition. Par économie de procédure, il se justifiait ainsi que la municipalité procède par une unique procédure au réaménagement de la rue du Collège (domaine public) et des accès et aménagements de faible importance se trouvant en lien directe avec la rue du Collège et plus généralement le projet litigieux. Il serait du reste excessivement formaliste d’exiger une mise à l’enquête séparée pour les aménagements incriminés, d’autant plus que les recourants n’expliquent pas en quoi ceux-là ne seraient pas conformes aux dispositions réglementaires ou légales.</w:t>
      </w:r>
    </w:p>
    <w:p>
      <w:r>
        <w:rPr>
          <w:b/>
        </w:rPr>
        <w:t>E. 5</w:t>
      </w:r>
    </w:p>
    <w:p>
      <w:r>
        <w:t>Les recourants font enfin valoir que les deux arbres situés le long du côté Est de la rue du Collège, au droit des parcelles n os 110 et 111 et de part et d'autre de l'accès au collège, " continuent de poser un vrai problème (…) pour (…) la sécurité "; ils ne s'expliquent ainsi " pas comment les véhicules souhaitant rejoindre la rue du Collège depuis les parcelles 110 et 111 pourront voir le trafic et s'y insérer, ou en quoi ils disposeront d'un rayon de braquage suffisant, avec la présence de ces arbres ". La DGMR a quant à elle exposé ce qui suit dans sa réponse: "En ce qui concerne la visibilité et la sécurité du trafic garanties par l'article 8 LRou, la DGMR rappelle que, conformément à son préavis du 18 décembre 2014 délivré à la suite de l'examen préalable du projet, la commune doit prendre en considération le fait que la traversée d'Aigle (avenue Chevron – rue du Collège) fait partie des itinéraires de convois exceptionnels de type II pouvant déplacer des charges ayant une largeur jusqu'à 6,50 m. Cet élément a une influence sur la position, le choix des essences et l'entretien des arbres. Par ailleurs, la disposition des arbres ne doit pas entraver la visibilité des débouchés, conformément à la norme VSS 640'273a. Au vu des éléments portés à la connaissance de la DGMR, ces contraintes ont été prises en compte par la commune". Or, les recourants n'ont absolument pas expliqué dans quelle mesure cette affirmation serait erronée, en particulier dans quelle mesure la norme VSS 640'273a régissant les conditions de visibilité dans les carrefours à niveau ne serait pas respectée. Ce faisant, ils n'exposent pas concrètement en quoi les arbres litigieux, sur le côté Est de la rue du Collège, violeraient les dispositions relatives à la sécurité et à la visibilité des voies d'accès à une route cantonale en traversée de localité et ne l'ont pas davantage fait au stade de leurs oppositions respectives. En l'absence d'éléments permettant de douter du respect des exigences de sécurité et de visibilité par les deux arbres litigieux et à supposer que la motivation des recourants satisfasse aux conditions posées par l'art. 79 al. 1 en lien avec l'art. 99 LPA-VD, ce grief doit être rejeté en tant que recevable. Du reste, comme le relève de manière pertinente la DGMR dans sa réponse au recours, la plantation de deux rangées d’arbres le long de la route représente un des moyens de modérer le trafic incitant les usagers à réduire leur vitesse et prêter attention à la vitesse de circulation. A cela s’ajoute que la rue sera à terme située en "zone 30" ce qui limitera encore les problèmes de sécurité.</w:t>
      </w:r>
    </w:p>
    <w:p>
      <w:r>
        <w:rPr>
          <w:b/>
        </w:rPr>
        <w:t>E. 6</w:t>
      </w:r>
    </w:p>
    <w:p>
      <w:r>
        <w:t>Il résulte de ce qui précède que le recours doit être rejeté dans la mesure où il est recevable et la décision attaquée, confirmée. Succombant, les recourants supportent les frais de justice ainsi que des dépens en faveur de la Municipalité d'Aigle, qui a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