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AC.2015.0208 vom 18. Mai 2016</w:t>
      </w:r>
    </w:p>
    <w:p>
      <w:r>
        <w:t>VD Tribunal cantonal, 2016-05-18, FR</w:t>
      </w:r>
    </w:p>
    <w:p>
      <w:r>
        <w:rPr>
          <w:b/>
        </w:rPr>
        <w:t xml:space="preserve">Quelle: </w:t>
      </w:r>
      <w:r>
        <w:t>https://mcp.opencaselaw.ch/entscheid/vd_omni_AC.2015.0208</w:t>
      </w:r>
    </w:p>
    <w:p>
      <w:r>
        <w:t>FR: VD_OMNI AC.2015.0208 du 18 mai 2016</w:t>
      </w:r>
    </w:p>
    <w:p>
      <w:r>
        <w:t>IT: VD_OMNI AC.2015.0208 del 18 maggio 2016</w:t>
      </w:r>
    </w:p>
    <w:p>
      <w:pPr>
        <w:pStyle w:val="Heading2"/>
      </w:pPr>
      <w:r>
        <w:t>Regeste</w:t>
      </w:r>
    </w:p>
    <w:p>
      <w:r>
        <w:t>BADERTSCHER/Municipalité de Corcelles-près-Concise, SCHÖLLHAMMER, Direction générale de l'environnement DGE-DIRNA | Lorsqu’un ouvrage déjà réalisé est soumis à une autorisation spéciale cantonale qui n’a pas été délivrée, les communes ne disposent pas de la compétence pour renoncer à ordonner sa remise en état sans l’aval du service cantonal, sans quoi le choix du législateur d’imposer une autorisation spéciale cantonale pourrait aisément être contourné. Il importe peu que l’autorisation spéciale cantonale soit imposée par l’art. 25 LAT traitant des ouvrages hors zone à bâtir, ou par d'autres autres dispositions fédérales ou cantonales découlant, comme en l’espèce, de la législation sur les forêts ou de la protection des monuments et des sites: ce qui est décisif est que les communes ne sont pas compétentes pour tolérer des ouvrages, installations, affectations ou exploitations dans leurs aspects soumis à autorisation cantonale.</w:t>
      </w:r>
    </w:p>
    <w:p>
      <w:pPr>
        <w:pStyle w:val="Heading2"/>
      </w:pPr>
      <w:r>
        <w:t>Erwägungen</w:t>
      </w:r>
    </w:p>
    <w:p>
      <w:r>
        <w:rPr>
          <w:b/>
        </w:rPr>
        <w:t>E. 1</w:t>
      </w:r>
    </w:p>
    <w:p>
      <w:r>
        <w:t>a) Dans son arrêt du 16 mars 2015 (cf. supra , partie "En fait", let. F), la CDAP a retenu en substance que le permis de construire initial du 8 novembre 2011 qui autorisait la construction des deux dépendances, atteignant 96 m</w:t>
      </w:r>
    </w:p>
    <w:p>
      <w:r>
        <w:rPr>
          <w:b/>
        </w:rPr>
        <w:t>E. 2</w:t>
      </w:r>
    </w:p>
    <w:p>
      <w:r>
        <w:t>L'agrandissement et le changement d’affectation des locaux litigieux, voire le mur de soutènement et son déblai, ayant déjà été réalisés, se pose la question de leur régularisation, sinon de leur remise en état ou de leur tolérance. a) Selon les art. 105 al. 1 et 130 al. 2 LATC, la municipalité, et à son défaut, le département compétent, est en droit de faire supprimer, aux frais des propriétaires, tous travaux qui ne sont pas conformes aux prescriptions légales et réglementaires. Toutefois, la seule violation des dispositions de forme relatives à la procédure d'autorisation de construire est en principe insuffisante pour justifier l'ordre de démolition d'un ouvrage non autorisé, si ledit ouvrage est conforme aux prescriptions matérielles applicables (AC.2008.0178 du 29 décembre 2008 et références, notamment RDAF 1982 448). Ainsi, il ne s'agit pas d'ordonner d'emblée la démolition des travaux effectués sans autorisation, mais d'examiner d'abord si ces travaux peuvent être régularisés. Dans la négative, il faut déterminer s'il convient néanmoins de tolérer les travaux litigieux. En effet, si l'ordre de démolir une construction édifiée sans permis et pour laquelle une autorisation ne peut être accordée n'est en principe pas contraire au principe de la proportionnalité, la violation du droit matériel par les travaux non autorisés ne suffit pas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cf. ATF 132 II 21 consid. 6; 123 II 248 consid. 3 et 4 p. 255; 111 Ib 213 consid. 6 p. 221 et les arrêts cités; v. aussi TF 1C_70/2015 du 28 août 2015 consid. 4.1, 1C_107/2011 du 5 septembre 2011 consid. 5.1; arrêts CDAP AC.2014.0240 du 14 juillet 2015 consid. 9a; AC.2014.0006 du 24 mars 2015 consid. 3a et les référence). b) Dans le cas des ouvrages construits hors des zones à bâtir, la jurisprudence a considéré qu’il découle notamment de l’art. 25 LAT - attribuant à l'autorité cantonale la compétence pour se prononcer sur les demandes d'autorisation de construire hors de la zone à bâtir - que lorsqu’un ordre de remise en état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Ainsi, à part dans l’hypothèse exceptionnelle où des prescriptions communales (indépendantes du droit fédéral hors zone à bâtir) seraient en cause (voire dans l'hypothèse où il est d'emblée manifeste que l'autorisation cantonale sera totalement exclue, question toutefois laissée ouverte), c’est à l’autorité cantonale qu’il appartient de statuer sur le sort des constructions hors de la zone à bâtir, que ce soit pour en ordonner la démolition, pour autoriser le maintien de tout ou partie des installations litigieuses, ou encore pour statuer sur tout changement d’affectation (cf. CDAP AC.2011.0255 du 22 août 2012 consid. 3; AC.2010.0089 du</w:t>
      </w:r>
    </w:p>
    <w:p>
      <w:r>
        <w:rPr>
          <w:b/>
        </w:rPr>
        <w:t>E. 7</w:t>
      </w:r>
    </w:p>
    <w:p>
      <w:r>
        <w:t>septembre 2010 consid. 2; AC.2008.0175 du 26 janvier 2011 consid. 8; AC.2008.0262 du 24 novembre 2009 consid. 3; AC.2009.0089 du 6 novembre 2009 consid. 3; AC.2003.0003 du 29 octobre 2003 consid. 1 et les références). Cette jurisprudence s’appuie sur l’idée, assimilable au principe du parallélisme des formes, que seule l’autorité compétente pour autoriser un ouvrage est habilitée à renoncer à en ordonner la remise en état lorsque cet ouvrage ne peut être régularisé. Ainsi, lorsqu’un ouvrage déjà réalisé est soumis à une autorisation spéciale cantonale qui n’a pas été délivrée, les communes ne disposent pas de la compétence pour renoncer à ordonner sa remise en état sans l’aval du service cantonal, sans quoi le choix du législateur d’imposer une autorisation spéciale cantonale pourrait aisément être contourné. Il importe peu que l’autorisation spéciale cantonale soit imposée par l’art. 25 LAT traitant des ouvrages hors zone à bâtir, ou par d'autres autres dispositions fédérales ou cantonales découlant, comme en l’espèce, de la législation sur les forêts ou de la protection des monuments et des sites: ce qui est décisif est que les communes ne sont pas compétentes pour tolérer des ouvrages, installations, affectations ou exploitations dans leurs aspects soumis à autorisation cantonale. Dans ces conditions en l’espèce, force est de constater derechef la nullité de la décision querellée de la municipalité du 19 juin 2015 refusant d'ordonner la remise en état des deux dépendances litigieuses, qu’il s’agisse de leur agrandissement ou de leur changement d’affectation, voire de la réalisation du mur de soutènement et du déblai. La décision attaquée étant nulle, le recours est ainsi bien fondé, a fortiori, en tant qu’il conclut à l’annulation de ce prononcé. En revanche, le recours ne peut être admis en tant qu’il conclut à ce qu’ordre soit donné au constructeur de modifier les constructions litigieuse afin de se conformer au permis de construire du 8 novembre 2011, dès lors qu’il appartient aux services cantonaux, non pas à la CDAP, de statuer à cet égard en première instance. 3. Vu ce qui précède, le recours doit être admis. La nullité de la décision de la municipalité du 19 juin 2015 doit être constatée. Un émolument judicaire réduit doit être mis à la charge du constructeur qui succombe, et de la municipalité qui a outrepassé ses compétences. Le recourant a droit à une indemnité de dépens, à charge du constructeur et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