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AC.2015.0187 vom 28. Dezember 2017</w:t>
      </w:r>
    </w:p>
    <w:p>
      <w:r>
        <w:t>VD Tribunal cantonal, 2017-12-28, FR</w:t>
      </w:r>
    </w:p>
    <w:p>
      <w:r>
        <w:rPr>
          <w:b/>
        </w:rPr>
        <w:t xml:space="preserve">Quelle: </w:t>
      </w:r>
      <w:r>
        <w:t>https://mcp.opencaselaw.ch/entscheid/vd_omni_AC.2015.0187</w:t>
      </w:r>
    </w:p>
    <w:p>
      <w:r>
        <w:t>FR: VD_OMNI AC.2015.0187 du 28 décembre 2017</w:t>
      </w:r>
    </w:p>
    <w:p>
      <w:r>
        <w:t>IT: VD_OMNI AC.2015.0187 del 28 dicembre 2017</w:t>
      </w:r>
    </w:p>
    <w:p>
      <w:pPr>
        <w:pStyle w:val="Heading2"/>
      </w:pPr>
      <w:r>
        <w:t>Regeste</w:t>
      </w:r>
    </w:p>
    <w:p>
      <w:r>
        <w:t>A.________, B.________, C.________, D.________, E.________, F.________, G.________, H.________, I.__, J., K., L./Département du territoire et de l’environnement (DTE), CONSEIL COMMUNAL DE MONTREUX, Office fédéral du développement territorial ARE, Service Immeubles, Patrimoine et Logistique | Recours contre les décisions du conseil communal et du DTE adoptant, respectivement approuvant le nouveau PGA de la commune de Montreux applicable à la partie urbanisée du territoire. La disposition communale servant de base à la constitution d’un comité consultatif d’experts n’a pas besoin d’être plus précise sur les liens que l’expert désigné entretient avec la commune, pour écarter le risque de dépendance ou de partialité (consid. 11). Recours rejeté.</w:t>
      </w:r>
    </w:p>
    <w:p>
      <w:pPr>
        <w:pStyle w:val="Heading2"/>
      </w:pPr>
      <w:r>
        <w:t>Erwägungen</w:t>
      </w:r>
    </w:p>
    <w:p>
      <w:r>
        <w:rPr>
          <w:b/>
        </w:rPr>
        <w:t>E. 1</w:t>
      </w:r>
    </w:p>
    <w:p>
      <w:r>
        <w:t>a) La procédure d’établissement d’un plan d’affectation communal est définie aux art. 56 ss de la loi vaudoise du 4 décembre 1985 sur l’aménagement du territoire et les constructions (LATC; RSV 700.11). A l'issue de l'enquête publique,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en même temps qu'il se prononce sur l'adoption du plan et du règlement (art. 58 al. 3 LATC). Le département en charge de l'aménagement du territoire et de la police des constructions (actuellement le DTE) notifie à chaque opposant la décision communale sur son opposition (art. 60 al. 1 LATC). Il décide préalablement s'il peut approuver le plan et le règlement, l'approuver partiellement ou l'écarter (art. 61 al. 1 LATC). La décision communale sur les oppositions et la décision d'approbation préalable du département sont notifiées simultanément par ce dernier (art. 60 al. 1, 3 ème phrase LATC). Cette procédure a été suivie dans le cas présent. Les décisions communale et cantonale ont été notifiées par le DTE simultanément et peuvent toutes deux faire l'objet d'un recours de droit administratif au Tribunal cantonal (art. 60 al. 1 et 61 al. 2 LATC). Le recours est dirigé contre la décision du conseil communal adoptant le nPGA, en tant qu'elle porte sur les parcelles des recourants, et contre la décision du DTE approuvant préalablement ce plan. b) Déposé dans le délai de 30 jours fixé par l'art. 95 de la loi vaudoise du 28 octobre 2008 sur la procédure administrative (LPA-VD; RSV 173.36), le recours est intervenu en temps utile. Il satisfait en outre aux autres conditions formelles énoncées à l'art. 79 LPA-VD, applicable par renvoi de l'art. 99 LPA-VD. c) Aux termes de l'art. 75 al. 1 let. a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Cette disposition subordonne la qualité pour recourir à la condition que le recourant ait participé à la procédure antérieure, à savoir, en matière de plans d'affectation, qu’il ait formé opposition pendant le délai légal d'enquête publique (cf. arrêts AC.2013.0042 du 29 janvier 2014 consid. 1 et les réf. cit.; AC.2008.0069 du 7 août 2009 consid. 1b). En l’espèce, les recourants, propriétaires de différentes parcelles situées dans le quartier de la Nouvelle-Héloïse, colloqué en zone de coteau B par le nPGA, remplissent en principe les conditions de l'art. 75 al. 1 let. a LPA-VD. Cela n’est toutefois pas aussi clair en tant qu’ils critiquent le périmètre de la zone de coteau B, et il se pose donc la question de la recevabilité de ce grief.</w:t>
      </w:r>
    </w:p>
    <w:p>
      <w:r>
        <w:rPr>
          <w:b/>
        </w:rPr>
        <w:t>E. 2</w:t>
      </w:r>
    </w:p>
    <w:p>
      <w:r>
        <w:t>Les recourants concluent à ce que la réglementation de la zone de coteau B soit rendue plus restrictive ou à ce que le secteur des Bosquets de Julie soit classé dans une partie spéciale de la zone de coteau B (secteur avec prescriptions spéciales). Ils se réfèrent à cet égard au régime spécifique prévu à l’art. 9.11 nRPGA pour le coteau de Belmont, dont le périmètre est compris dans la zone de coteau B. Toutefois, la première version du nPGA mise à l’enquête publique en 2007 affectait déjà le secteur des Bosquets de Julie en zone de coteau B et connaissait en outre déjà ce périmètre avec prescriptions spéciales pour le secteur de Belmont. Les recourants auraient pu s’opposer au projet de PGA en 2007, en faisant valoir que les Bosquets de Julie devaient être soumis au même régime que le coteau de Belmont ou que cette zone avec prescriptions spéciales devait être définie plus largement, de manière à englober aussi leur propre quartier. Or ils n’ont pas critiqué la délimitation de la zone et des secteurs. On peut dès lors se demander si, n’étant intervenus qu’en 2013, ils ont véritablement participé à la procédure antérieure (cf. art. 75 al. 1 let. a LPA-VD), au cours de laquelle les autorités communales ont fixé le périmètre des zones. La question de la recevabilité du grief relatif à l’affectation du secteur des Bosquets de Julie en zone de coteau B peut toutefois rester indécise, car c’est a priori le contenu du règlement communal qui est contesté, et non pas la zone de coteau B elle-même.</w:t>
      </w:r>
    </w:p>
    <w:p>
      <w:r>
        <w:rPr>
          <w:b/>
        </w:rPr>
        <w:t>E. 3</w:t>
      </w:r>
    </w:p>
    <w:p>
      <w:r>
        <w:t>Les recourants contestent la teneur des nouvelles dispositions de la zone de coteau B adoptées en 2013. Ils demandent que la réglementation de cette zone soit plus restrictive ou que des dispositions protectrices spéciales s’appliquent au secteur des Bosquets de Julie, qui englobe leurs parcelles. a) Selon le PGA de 1972 encore en vigueur actuellement, les parcelles litigieuses sont en zone à bâtir de faible densité. Le 1 er janvier 1980 est entrée en vigueur la loi fédérale du 22 juin 1979 sur l'aménagement du territoire (LAT; RS 700). A compter de cette date, il incombait aux cantons de veiller à ce que les anciens plans d'affectation soient adaptés aux exigences du nouveau droit dans un délai de huit ans (art. 35 al. 1 let. b LAT), soit jusqu’au 1 er janvier 1988. La Commune de Montreux a, dans ce délai, révisé son PGA pour créer des zones agricoles et des zones intermédiaires (modification du PGA 1972 approuvée par le Conseil d'Etat le 8 avril 1987); pour la partie urbanisée de son territoire, elle n'a entrepris qu'à partir de 2002 de réviser sa planification. Dans ce cadre, elle a colloqué le quartier de la Nouvelle-Héloïse en zone de coteau B, soit dans une nouvelle zone constructible également destinée aux bâtiments de faible densité (cf. art. 9.1 al. 1 nRPGA). b) Montreux fait partie des centres cantonaux définis par le Plan directeur cantonal (ci-après: le PDCn) et les quartiers urbanisés du bas de la commune sont compris dans le périmètre compact de l’agglomération Riviera - Veveyse - Haut-Lac (cf. mesure B11). Cette agglomération est décrite dans la mesure R14 du PDCn. Elle est aussi prise en compte par la mesure A11 du plan, selon laquelle la mise à jour des plans d’affectation doit garantir une densification de la zone à bâtir, qui s’effectue en priorité dans les sites stratégiques, puis dans les périmètres compacts d’agglomération ou de centre, et enfin en continuité du territoire urbanisé. Les communes tiennent au moins compte, dans ce cadre, de la qualité de la desserte en transports publics, de l’accès en mobilité douce aux services et équipements, de l’environnement, notamment la nature et le paysage, et de la capacité des équipements et des infrastructures. Dans les centres et les localités à densifier, la mesure A11 prescrit que la densité des nouvelles zones d'habitation et mixtes ne peut être inférieure à " 125 habitants + emplois à l’hectare ", ce qui correspond à un indice d’utilisation du sol (IUS) minimal de 0.625.</w:t>
      </w:r>
    </w:p>
    <w:p>
      <w:r>
        <w:rPr>
          <w:b/>
        </w:rPr>
        <w:t>E. 4</w:t>
      </w:r>
    </w:p>
    <w:p>
      <w:r>
        <w:t>Les recourants soutiennent que l’objectif décrit au ch. 4.5 du rapport 47 OAT commande, avec les objectifs et principes plus généraux qui s’imposent aux autorités d'aménagement du territoire, de préserver les caractéristiques paysagères, urbanistiques et architecturales du secteur des Bosquets de Julie, ainsi que l’harmonie et l’atmosphère des lieux. Ces objectifs devraient l’emporter sur l’objectif de densification fixé par le PDCn. Les recourants font valoir que les dispositions de la zone de coteau B ne comportent plus aucune cautèle et autorisent une densité de construction trop importante. A leur avis, en présence d’une parcelle suffisamment grande et pentue, il serait désormais possible d’ériger des villas mitoyennes ou groupées prenant l’aspect d’un petit immeuble locatif de quatre niveaux. La nouvelle réglementation communale serait ainsi contraire à la destination de la zone de coteau B, qui est vouée à la réalisation de villas urbaines. Elle serait aussi propre à altérer gravement le caractère architectural et paysager du chemin de la Nouvelle-Héloïse, qui risquerait à terme d’être tapissé de nombreuses constructions démesurées et propres à dénaturer les lieux. Les recourants affirment qu’il existerait une inégalité de traitement injustifiée avec le coteau de Belmont, qui fait pour sa part l’objet de prescriptions spéciales restreignant davantage les possibilités de bâtir dans le périmètre en question, sans égard à l’objectif de densification du PDCn. Ils demandent que la réglementation de la zone de coteau B soit rendue plus restrictive ou que le secteur des Bosquets de Julie soit mis au bénéficie de règles constructives plus spécifiques, assurant une protection au moins égale à celle du coteau de Belmont. En outre, les recourants critiquent l’art. 9.4 nRPGA, qui autoriserait quatre niveaux habitables puisque le niveau d’attique ou de combles n’est pas compté dans le nombre maximal de trois étages. Le fait que cette disposition n’exige pas que le bâtiment comporte un seul logement, comme c’est le cas pour le coteau de Belmont (cf. art. 9.11 al. 2 nRPGA), permettrait la réalisation de petits immeubles locatifs. Les recourants sont aussi d’avis que les critères applicables pour autoriser un étage de plus sur la façade aval selon l’art. 9.4 al. 2 nRPGA (pour autant qu’il soit dégagé du terrain naturel en façade aval " dans une proportion suffisante ") sont très approximatifs et procurent une marge d’appréciation trop importante à la municipalité. Ils se plaignent également du fait que la nouvelle réglementation ne distingue pas les parcelles planes ou en pente et ne prévoit pas de surface bâtie maximale. Ils déplorent de plus la suppression, en 2013, de l’ancien art. 9.7 nRPGA adopté en 2007, qui constituait selon eux la seule règle relative aux proportions des bâtiments. Les recourants demandent enfin que la définition des constructions souterraines se limite aux immeubles " dont une face au plus est visible une fois le terrain aménagé ", comme le faisait l’ancien art. 44 nRPGA de 2007. Dans sa teneur actuelle, l’art. 51 nRPGA ne serait pas suffisamment précis. Il autoriserait des immeubles dégagés sur plusieurs faces et ne permettrait pas de déterminer si les constructions souterraines comptent dans le nombre de niveaux habitables autorisé. Le DTE considère pour sa part que la densité prévue pour le secteur des Bosquets de Julie est conforme aux dispositions légales et notamment à la LAT. Il relève que l’IUS de 0.60 envisagé par le nRPGA correspond à la densité minimale requise par la mesure A11 du PDCn pour les nouvelles zones à bâtir.</w:t>
      </w:r>
    </w:p>
    <w:p>
      <w:r>
        <w:rPr>
          <w:b/>
        </w:rPr>
        <w:t>E. 5</w:t>
      </w:r>
    </w:p>
    <w:p>
      <w:r>
        <w:t>a) Le tribunal de céans est l'unique autorité cantonale de recours qui doit, en vertu de l'art. 33 al. 3 let. b LAT, exercer son pouvoir d'examen de manière libre, sans être limité au contrôle de l'abus ou de l'excès du pouvoir d'appréciation (cf. notamment arrêt AC.2017.0246 du 12 avril 2018 consid. 4b/bb). Cela ne signifie pas que l'autorité de recours puisse se transformer en autorité d'aménagement (ATF 109 Ib 544). En effet, en vertu de l'art. 2 al. 3 LAT, les autorités chargées de l'aménagement du territoire veillent à laisser aux autorités qui leur sont subordonnées la liberté d'appréciation nécessaire à l'accomplissement de leurs tâches.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arrêts AC.2013.0042 du 29 janvier 2014 consid. 3; AC.2010.0041 du 20 octobre 2010 consid. 2b; AC.2009.0131 du 26 mars 2010 consid. 2b). La CDAP doit donc s’imposer une certaine retenue lors du libre examen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p. 242; TF 1C_365/2010 du 18 janvier 2011 consid. 2.3 non publié in ATF 137 II 23; 1C_82/2008 du 28 mai 2008 consid. 6.1 non publié in ATF 134 II 117). Cela étant, l'autorité doit, dans le cadre du contrôle de la légalité, se prononcer sur la conformité du plan d'affectation aux buts et principes régissant l'aménagement du territoire (art. 1 et 3 LAT). Ce contrôle implique également de s’assurer que les principes de planification posés aux art. 2 et 3 OAT sont respectés ‑ notamment la prise en considération de tous les intérêts concernés, qu'ils soient publics ou privés (art. 3 OAT), dans le respect du principe de la proportionnalité (cf. arrêts AC.2016.0126 du 13 avril 2017 consid. 2; AC.2015.0263 du 23 janvier 2017 consid. 2). b) Selon l'art. 75 al. 1 de la Constitution fédérale de la Confédération suisse du 18 avril 1999 (Cst.; RS 101), la Confédération fixe les principes applicables à l'aménagement du territoire. Celui-ci incombe aux cantons et sert une utilisation judicieuse et mesurée du sol et une occupation rationnelle du territoire. L'art. 1 al. 1 LAT dispose que la Confédération, les cantons et les communes veillent à assurer une utilisation mesurée du sol et à réaliser une occupation du territoire propre à garantir un développement harmonieux de l'ensemble du pays. L’art. 1 al. 2 LAT définit les buts de l'aménagement du territoire. Cette disposition, dans sa nouvelle teneur entrée en vigueur le 1 er mai 2014, prescrit que les autorités chargées de l'aménagement du territoire soutiennent les efforts qui sont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L'art. 3 LAT expose les principes d’aménagement (al. 1). Le paysage doit être préservé (al. 2). Dans ce cadre, il convient en particulier de veiller à ce que les constructions prises isolément ou dans leur ensemble ainsi que les installations s'intègrent dans le paysage (let. b). Les territoires réservés à l'habitat et à l'exercice des activités économiques doivent en outre être aménagés selon les besoins de la population et leur étendue limitée (al. 3). Pour ce faire, il convient notamment de répartir judicieusement les lieux d'habitation et les lieux de travail et de les planifier en priorité sur des sites desservis de manière appropriée par les transports publics (let. a), et de prendre les mesures propres à assurer une meilleure utilisation dans les zones à bâtir des friches, des surfaces sous-utilisées ou des possibilités de densification des surfaces de l'habitat (let. a bis ).</w:t>
      </w:r>
    </w:p>
    <w:p>
      <w:r>
        <w:rPr>
          <w:b/>
        </w:rPr>
        <w:t>E. 6</w:t>
      </w:r>
    </w:p>
    <w:p>
      <w:r>
        <w:t>a) La zone de coteau B est destinée aux bâtiments de faible densité, tels que villas individuelles ou groupées et habitations superposées ou juxtaposées (art. 9.1 al. 1 nRPGA), et elle est affectée à l'habitat individuel ou individuel groupé ainsi qu’aux autres activités non gênantes (art. 9.2 nRPGA). Le nouveau règlement communal ne prévoit pas que les bâtiments ne peuvent comporter qu’un logement au maximum. Au contraire, selon le rapport 47 OAT, la révision de la planification vise à favoriser l’habitat collectif dans toutes les zones d’habitation, y compris la zone de coteau B, par la construction de villas urbaines susceptibles d’accueillir plusieurs logements (cf. ch. 2.1, p. 8). Ainsi, contrairement à ce qu’ont affirmé les recourants à l’audience, la villa urbaine ne vise pas uniquement les villas individuelles. En réalité, elle pourrait tout à fait accueillir plusieurs logements sans pour autant être plus volumineuse, en comprenant par exemple un appartement par étage. Dans ces conditions, le nouveau règlement communal ne contredit pas la destination de la zone de coteau B, même s’il y autorise des habitations superposées ou juxtaposées qui pourraient, selon les cas, s’apparenter à de petits immeubles locatifs. Il ne diffère pas, sur ce point, du régime de l’art. 36 RPGA 1972 encore en vigueur à l’heure actuelle, qui ne limite pas le nombre de logements et ne contient aucune référence à la notion d’habitat individuel en zone de faible densité, et n’exclut donc pas non plus la possibilité de réaliser des bâtiments d’habitation de plusieurs logements dans l’actuelle zone de faible densité. La CDAP a du reste considéré, dans un arrêt AC.2013.0412 du 21 juillet 2014, que la zone de coteau B était bel et bien destinée à accueillir plusieurs appartements (cf. consid. 7c). S’agissant des possibilités de construire, l’art. 9.6 nRPGA dispose que l’IUS autorisé est de 0.60 au maximum en zone de coteau B. En comparaison, l’ancien art. 9.6 nRPGA de 2007 prévoyait que la surface bâtie ne pouvait excéder 1/6 de la surface de la parcelle et qu’elle était fixée à 1/3 pour les bâtiments en terrasse. Selon l’art. 40 al. 1 RPGA 1972, la proportion de la surface bâtie par rapport à celle de la parcelle est limitée à 1/10 pour les bâtiments comportant deux étages sous la corniche et à 1/6 dans les autres cas. La nouvelle densité constructive a donc considérablement augmenté dans le quartier de la Nouvelle-Héloïse. Toutefois, elle reste encore légèrement inférieure à la densité minimale prônée par le PDCn pour les nouvelles zones à bâtir dans les centres (IUS de 0.625 selon la mesure A11). Elle n’est donc pas critiquable sous cet angle et, pour ce secteur de l'agglomération, on ne voit pas en quoi le choix des autorités de planification à ce propos ne serait pas approprié. En outre, l’art. 9.4 nRPGA autorise jusqu’à quatre niveaux habitables en zone de coteau B, à savoir deux niveaux sous la corniche ou l’acrotère, surmontés d’un niveau d’attique ou de combles (al. 1), et un éventuel étage supplémentaire sous le rez-de-chaussée en cas de forte pente, pour autant qu’il bénéficie d’une insolation suffisante et qu’il soit dégagé du terrain naturel en façade aval dans une proportion suffisante (al. 2). Selon la municipalité, la réalisation d’un niveau supplémentaire permet de mieux intégrer la construction dans le terrain quand celui-ci est en forte pente et de mieux régler le rapport du terrain aménagé avec les façades latérales (cf. préavis n° 31/2013). A l’audience, les représentants de la commune ont précisé que cette solution entrerait en ligne de compte avec une pente de l’ordre de 20 % au moins. Ainsi, l’art. 9.4 al. 2 nRPGA permet de tenir compte de la topographie des lieux, de façon à favoriser une bonne implantation du bâtiment dans la pente quand cela s’avère nécessaire, sans en augmenter la hauteur. Il permet aussi de préserver les qualités paysagères - soit le caractère verdoyant prédominant - du quartier de la Nouvelle-Héloïse (cf. sur ce point art. 9.1 al. 2 nRPGA), dans lequel la densité de construction est relativement importante, en limitant l’emprise au sol des constructions. C’est à tort que les recourants soutiennent que l’art. 9.4 al. 2 nRPGA donne une marge d’appréciation trop importante à la municipalité, en prévoyant qu’elle doit vérifier que le niveau supplémentaire est dégagé du terrain naturel en façade aval " dans une proportion suffisante ". Dans tous les cas, l’autorité communale est en effet liée par l’art. 9.4 al. 3 nRPGA, aux termes duquel le nombre de niveaux perçus en façade aval peut être de trois au maximum, y compris la face visible de la construction souterraine au sens de l'art. 51 nRPGA, mais sans égard à l’étage de terminaison. Ainsi, la nouvelle réglementation communale est conforme à l’objectif de densification du PDCn, instrument dont on rappelle qu’il a force obligatoire pour les autorités (art. 9 al. 1 LAT et 31 al. 1 LATC). Elle répond aux buts actuels d’aménagement du territoire, qui tendent notamment à un développement de l'urbanisation vers l'intérieur du milieu bâti et de façon compacte, en maintenant une qualité de l'habitat appropriée (art. 1 al. 2 let. a bis et let. b LAT). Elle concrétise également les principes d’aménagement de la LAT, concernant notamment une meilleure utilisation des possibilités de densification des surfaces de l'habitat dans les zones à bâtir (art. 3 al. 3 let a bis LAT). De façon plus générale, la nouvelle réglementation communale permet d’utiliser plus judicieusement les terrains compris dans le secteur des Bosquets de Julie qui, d’après les termes du préavis municipal n° 31/2013, est affecté à la zone à bâtir depuis 1972 et se trouve à l’orée de la frange urbanisée de Montreux et relativement proche des axes de circulation et des transports publics (cf. à cet égard art. 3 al. 3 let. a LAT). b) Certes, les nouvelles dispositions de la zone de coteau B sont susceptibles d’augmenter quelque peu l’impact des constructions sur le paysage et le milieu bâti, puisque de petits immeubles d’habitation de quatre étages seraient admissibles. De telles constructions s’écarteraient de la typologie traditionnelle du quartier de la Nouvelle-Héloïse, qui est actuellement constitué, à une exception près, de villas dans des jardins. On a vu toutefois que cette conception n’est pas incompatible avec la destination de la zone de coteau B. De plus, le secteur ne fait plus l'objet d'une mesure de protection particulière depuis la révision de l’ISOS entrée en vigueur en 2015. De ce fait, le SIPAL a d’ailleurs indiqué à l’audience que sa demande tendant à la suppression de la possibilité de réaliser des habitations superposées ou juxtaposées ne visait plus le quartier de la Nouvelle-Héloïse. Quoi qu’il en soit, l’objectif de densification en zone de coteau B n’est pas incompatible avec un développement territorial de qualité. Le nRPGA contient en effet une série de normes destinées à intégrer les constructions sur le coteau en préservant ses qualités paysagères (cf. art. 9.1 al. 2 nRPGA). Ainsi, même s’il ne contient plus de règle relative à la longueur des bâtiments (cf. ancien art. 9.7 nRPGA de 2007), le nouveau règlement communal limite la hauteur des bâtiments à 7 m sur la corniche ou l’acrotère, la distance entre un bâtiment et les limites de parcelles voisines à 5 m, et l’indice d’occupation du sol (IOS) à 0.17 (cf. art. 9.3, 9.5 et 9.7 nRPGA), ce qui restreint les proportions admissibles dans le secteur. Il tient compte de la topographie des lieux, en demandant que l’implantation et la typologie des constructions respectent la morphologie générale du terrain naturel et s’inscrivent harmonieusement dans la pente sans provoquer des mouvements de terre importants (cf. art. 9.8 nRPGA), ce qui rejoint la question du nombre de niveaux autorisé en fonction de la pente (cf. art. 9.4 nRPGA). Les murs de soutènement doivent en outre être réalisés en pierre apparente, en maçonnerie enduite ou en béton (cf. art. 9.9 nRPGA). Ces dispositions sont autant de prescriptions permettant de préserver les qualités architecturales du chemin de la Nouvelle-Héloïse et d’y maintenir une certaine harmonie urbanistique, même en cas de densification. Elles écartent le risque que le coteau soit tapissé de constructions démesurées venant dénaturer le caractère des lieux, comme le craignent les recourants. Elles limitent aussi l’impact des nouveaux immeubles sur le paysage, qui est du reste compartimenté par la végétation existante, comme l’a relevé le SDT (pour le DTE) à l’audience. c) Il découle de ce qui précède que la nouvelle réglementation de la zone de coteau B se fonde sur des critères objectifs et résulte d’une pesée correcte des intérêts par l’autorité communale intimée, qui n’a pas abusé de son pouvoir d’appréciation dans ce cadre.</w:t>
      </w:r>
    </w:p>
    <w:p>
      <w:r>
        <w:rPr>
          <w:b/>
        </w:rPr>
        <w:t>E. 7</w:t>
      </w:r>
    </w:p>
    <w:p>
      <w:r>
        <w:t>S’agissant des constructions souterraines, l’art. 51 al. 1 nRPGA vise les constructions ou parties de construction dont le volume se situe au minimum à ¾ en dessous du niveau du terrain naturel, qui n'entraînent pas de modification sensible du profil et de la nature du sol et qui ne créent pas d'inconvénient pour le voisinage. Il est vrai que l’ancien art. 44 nRPGA de 2007 donnait une définition plus précise de la notion de construction souterraine, en exigeant qu’elle soit visible sur une face au plus une fois le terrain aménagé. Le fait qu’un ouvrage soit totalement ou partiellement apparent sur une ou plusieurs face(s) n’est toutefois pas incompatible avec la notion de construction souterraine. On peut de plus supposer que la règle, plus souple, fixant à ¾ la proportion du volume devant se trouver sous le niveau du terrain naturel reviendra dans la plupart des cas à limiter l’ouvrage à une face visible. En outre, l’exigence selon laquelle la construction souterraine ne doit pas modifier de manière sensible le profil et la nature du sol permet de limiter son impact visuel dans l’environnement, en termes notamment de mouvements de terre et de murs de soutènement . L ’art. 51 al. 1 nRPGA, qui confère un large pouvoir d’appréciation à la municipalité, permet ainsi une bonne intégration des ouvrages souterrains. Cette disposition est particulièrement pertinente pour le chemin de la Nouvelle-Héloïse, qui se trouve sur un coteau en forte pente. Les recourants craignent que des ouvrages similaires au garage ECA n° 9303c, visible sur trois faces, se multiplient dans leur quartier. Il s’agit toutefois d’une situation exceptionnelle, où la réalisation de la construction ne correspond pas au permis délivré et aux plans mis à l’enquête publique. On relève encore que l’art. 9.4 al. 3 nRPGA prévoit expressément que la face visible de la construction souterraine est comprise dans le nombre maximal de trois niveaux pouvant être perçus en façade aval. C’est dès lors à tort que les recourants affirment qu’il n’est pas possible de déduire de l’art. 51 nRPGA si les constructions souterraines comptent dans le nombre de niveaux habitables autorisé.</w:t>
      </w:r>
    </w:p>
    <w:p>
      <w:r>
        <w:rPr>
          <w:b/>
        </w:rPr>
        <w:t>E. 8</w:t>
      </w:r>
    </w:p>
    <w:p>
      <w:r>
        <w:t>Pour ce qui est du grief relatif à l’égalité de traitement, il convient de relever que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1C_352/2014 du 10 octobre 2014 consid. 4.1; 1C_269/2014 du 4 juillet 2014 consid. 6). On a vu que la modification des possibilités de bâtir dans le secteur des Bosquets de Julie se justifie au regard des exigences de densification résultant à la fois de la LAT et du PDCn, et qu’elle est donc objectivement soutenable. Cela étant précisé, il faut effectivement constater que l’autorité communale n'a pas appliqué la même mesure d’affectation au coteau de Belmont, qu’elle a classé dans une partie spéciale de la zone de coteau B afin de préserver son caractère. Ce secteur est assorti de prescriptions spécifiques restreignant les possibilités de bâtir: les bâtiments ne comportent dans la règle qu’un logement; un seul niveau peut être dégagé à l’amont; la forme, l’orientation et la pente des toitures respectent le caractère d’origine; et les places de parc extérieures et les garages individuels sont groupés dans la mesure du possible (art. 9.11 al. 2 nRPGA). Le coteau de Belmont se distingue toutefois par sa grande homogénéité urbanistique (art. 9.11 al. 1 nRPGA), ce qui n’est pas le cas du quartier de la Nouvelle-Héloïse, qui est certes majoritairement constitué de villas, mais ne présente pas d'unité architecturale particulière, ce que les recourants ont eux-mêmes admis à l’audience. Ainsi, il existe une différence objective entre ces deux périmètres, qui justifie que le secteur des Bosquets de Julie ne soit pas assorti de dispositions protectrices égales à celles prévues pour le coteau de Belmont.</w:t>
      </w:r>
    </w:p>
    <w:p>
      <w:r>
        <w:rPr>
          <w:b/>
        </w:rPr>
        <w:t>E. 9</w:t>
      </w:r>
    </w:p>
    <w:p>
      <w:r>
        <w:t>En définitive, la nouvelle réglementation communale offre des possibilités de bâtir conformes à l’objectif de densification du PDCn, tout en prévoyant des prescriptions relatives à la proportion, à l’implantation et à la typologie des constructions admissibles. Son contenu permet de préserver les qualités urbanistiques, architecturales et paysagères du secteur des Bosquets de Julie, et plus particulièrement du quartier de la Nouvelle-Héloïse, pour éviter que ce dernier soit défiguré par la réalisation de bâtiments démesurés, conformément aux objectifs énoncés dans le rapport 47 OAT. La nouvelle réglementation applicable à la zone de coteau B est donc pleinement justifiée, sans qu’il soit nécessaire de prévoir des prescriptions de protection spéciales pour le secteur des Bosquets de Julie.</w:t>
      </w:r>
    </w:p>
    <w:p>
      <w:r>
        <w:rPr>
          <w:b/>
        </w:rPr>
        <w:t>E. 10</w:t>
      </w:r>
    </w:p>
    <w:p>
      <w:r>
        <w:t>Les recourants critiquent encore l'insuffisance des équipements pour faire face à l'augmentation du trafic routier en cas de densification dans leur quartier. A leur avis, il serait impossible de croiser sur le chemin de la Nouvelle-Héloïse, dont la largeur oscillerait entre 3.50 m et 4.20 m. A l’audience, ils ont évoqué l’idée de réaliser une étude de trafic. a) En principe, la question de l’équipement routier doit être examinée au stade de l’autorisation de construire. L’art. 22 al. 2 let. b LAT dispose en effet que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des types de véhicules qui vont l'emprunter, que la visibilité et les possibilités de croisement soient suffisantes et que l'accès des services de secours et de voirie soit assuré ( ATF 121 I 65 consid. 3a et les arrêts cités; TF 1C_221/2007 du 3 mars 2008 consid. 7.2; arrêt AC.2012.0300 du 12 juin 2013). Les infrastructures doivent ainsi être adaptées aux possibilités de construire offertes par le plan de zones. Un terrain ne peut dès lors être considéré comme équipé si, une fois construit conformément aux règles du plan d'affectation, son utilisation entraîne un accroissement du trafic qui ne peut pas être absorbé par le réseau routier. Il en va de même si l'accroissement du trafic provoque des atteintes nuisibles ou incommodantes dans le voisinage, contraires à la législation fédérale sur la protection de l'environnement ( ATF 119 Ib 480 consid. 6a; 116 Ib 159 consid. 6b). Au stade de la planification, l’aménagement des accès n’a pas à être étudié dans le détail (arrêt AC.2016.0335 du 22 juin 2017 consid. 7a et les réf. cit.). b) En l’espèce, le quartier de la Nouvelle-Héloïse est déjà desservi par une voie d’accès (chemin de la Nouvelle-Héloïse) et il doit être considéré comme équipé (voir dans ce sens le préavis n° 31/2013 de la municipalité). Il n’est donc pas nécessaire de prévoir des mesures supplémentaires pour organiser le trafic dans le secteur. Certes, le chemin de la Nouvelle-Héloïse présente une largeur de 3.50 m à 4.20 m et est aménagé dans une forte pente, sur une distance approximative de 300 m. Le trafic y est toutefois faible, puisqu’il ne dessert qu’une dizaine d’habitations et qu’il est principalement, sinon exclusivement utilisé par ses riverains. A l'évidence, l’accès actuel est suffisant, même si le croisement à certains endroits requiert un ralentissement ou des manœuvres. A cela s’ajoute que le quartier de la Nouvelle-Héloïse ne comporte plus qu’un terrain nu (parcelle n° 12718) et qu’à supposer que les villas existantes soient un jour remplacées par des immeubles de plus forte densité, l'accroissement prévisible du trafic ne serait pas tel que l’accès existant s’en trouverait inadapté. Une étude de trafic ne permettrait pas de renverser cette conclusion. On relève de surcroît que les habitants du site, peu nombreux, connaissent la configuration des lieux et les endroits nécessitant une attention plus soutenue. Dans ces conditions, les recourants ne sont pas fondés à se plaindre d'un équipement insuffisant du quartier, ni du caractère inadapté de la desserte routière.</w:t>
      </w:r>
    </w:p>
    <w:p>
      <w:r>
        <w:rPr>
          <w:b/>
        </w:rPr>
        <w:t>E. 11</w:t>
      </w:r>
    </w:p>
    <w:p>
      <w:r>
        <w:t>Les recourants critiquent finalement la nouvelle teneur de l’art. 3 nRPGA adopté en 2013, relatif au comité consultatif d’experts que la municipalité a la possibilité de saisir pour tout projet d’une certaine importance ou situé dans un site sensible (cf. alinéa 2). Cette disposition ne contient plus l’exigence qui découlait de la version de 2007, selon laquelle les cinq membres du comité n’assument pas de mandat politique et sont majoritairement domiciliés hors du territoire communal. Désormais, elle prévoit seulement que le comité est composé exclusivement de personnes compétentes en matière d’architecture, d’urbanisme, d’environnement, de circulation et de droit foncier (cf. alinéa 4). Avec la suppression de ces cautèles, les recourants craignent une absence d’indépendance des experts qui seront mandatés à l’avenir par la commune, au point de constituer une " commission des constructions du conseil communal ". Les recourants perdent toutefois de vue que le comité consultatif visé par l’art. 3 nRPGA n’est pas une commission politique, mais bien plutôt un groupe d’experts qualifiés dans différents domaines à la fois techniques et scientifiques. Par nature, un expert appelé à s’exprimer à ce titre dans le cadre d’un organe de droit public doit donner un avis objectif, qui reflète au mieux l’état des connaissances dans son domaine de spécialité, sans aucune considération pour les intérêts de celui qui le mandate. La norme qui sert de base à la constitution d’un tel groupe n’a pas besoin d’être plus précise - en l’occurrence sur les liens que l’expert désigné entretient avec la commune - pour écarter le risque de dépendance ou de partialité.</w:t>
      </w:r>
    </w:p>
    <w:p>
      <w:r>
        <w:rPr>
          <w:b/>
        </w:rPr>
        <w:t>E. 12</w:t>
      </w:r>
    </w:p>
    <w:p>
      <w:r>
        <w:t>Il résulte des considérants qui précèdent que les griefs des recourants sont mal fondés. Le recours doit donc être rejeté, dans la mesure où il est recevable, et les décisions attaquées confirmées. Vu le sort du recours, l’émolument de justice est mis à la charge des recourants (art. 49 al. 1 LPA-VD). Ceux-ci verseront à la Commune de Montreux, qui obtient gain de cause en ayant procédé par l'intermédiaire d'un mandataire professionnel, les dépens qu'elle a requis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