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AC.2015.0182 vom 26. April 2016</w:t>
      </w:r>
    </w:p>
    <w:p>
      <w:r>
        <w:t>VD Tribunal cantonal, 2016-04-26, FR</w:t>
      </w:r>
    </w:p>
    <w:p>
      <w:r>
        <w:rPr>
          <w:b/>
        </w:rPr>
        <w:t xml:space="preserve">Quelle: </w:t>
      </w:r>
      <w:r>
        <w:t>https://mcp.opencaselaw.ch/entscheid/vd_omni_AC.2015.0182</w:t>
      </w:r>
    </w:p>
    <w:p>
      <w:r>
        <w:t>FR: VD_OMNI AC.2015.0182 du 26 avril 2016</w:t>
      </w:r>
    </w:p>
    <w:p>
      <w:r>
        <w:t>IT: VD_OMNI AC.2015.0182 del 26 aprile 2016</w:t>
      </w:r>
    </w:p>
    <w:p>
      <w:pPr>
        <w:pStyle w:val="Heading2"/>
      </w:pPr>
      <w:r>
        <w:t>Regeste</w:t>
      </w:r>
    </w:p>
    <w:p>
      <w:r>
        <w:t>Swiss Eco Top Quality Habitat Sainte-Croix Sàrl, NIDEAL Immobilier Sàrl, MAGNIN/Municipalité de Ste-Croix, SI Avenue de Neuchâtel SA, KOBEL, DICK-JEANMONOD, MUGNY | Compte tenu de la grande latitude d’appréciation dont bénéficient les communes en termes d’esthétique et d’intégration des constructions, le refus d'accorder le permis de construire signifié par la municipalité de Sainte-Croix repose sur une appréciation soutenable des circonstances pertinentes, que le tribunal doit respecter. Les deux bâtiments contestés, à ériger à mi-pente d'une butte, surplomberont nécessairement les constructions existantes sur le replat en contrebas. Les futurs bâtiments comptant un à deux niveaux de plus que ces immeubles, l'effet de domination et de disproportion s’en trouvera accru. Le projet s'inscrira en outre en rupture avec l'objectif de non-bâtir fixé par l'ISOS pour le site litigieux (constituant l'arrière-plan du village urbanisé d'importance nationale); cet objectif n'est certes pas contraignant pour la municipalité, mais doit être pris en considération dans l'appréciation des projets de construction.</w:t>
      </w:r>
    </w:p>
    <w:p>
      <w:pPr>
        <w:pStyle w:val="Heading2"/>
      </w:pPr>
      <w:r>
        <w:t>Erwägungen</w:t>
      </w:r>
    </w:p>
    <w:p>
      <w:r>
        <w:rPr>
          <w:b/>
        </w:rPr>
        <w:t>E. 1</w:t>
      </w:r>
    </w:p>
    <w:p>
      <w:r>
        <w:t>La qualité pour recourir de Swiss Eco Top Quality Habitat Ste-Croix Sàrl est remise en cause par les opposants, au motif que cette société n'a pas formellement déposé la demande de permis de construire litigieuse. a) Selon l'art. 75 al. 1 let. a de la loi vaudoise du 28 octobre 2008 sur la procédure administrative (LPA-VD; RSV 173.36),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En l'occurrence, il n'est pas contesté, à juste titre, que les deux autres recourants, soit le propriétaire et la promettante-acquéreuse du terrain, sont directement touchés par la décision litigieuse et ont un intérêt certain à son annulation ou à sa modification, si bien que la qualité pour recourir doit leur être reconnue. Dès lors que le tribunal doit ainsi dans tous les cas entrer en matière sur le recours, que les recourants sont tous représentés par le même conseil et qu'ils soulèvent donc les mêmes griefs, la question de la qualité pour agir de Swiss Eco Top Quality Habitat Ste-Croix Sàrl peut demeurer indécise (cf. CDAP AC.2013.0177 du 29 juillet 2014 consid. 1 et la référence). Pour le reste, le recours satisfait aux autres conditions formelles de recevabilité (cf. art. 79 al. 1 et 95 LPA-VD notamment), de sorte qu'il y a lieu d'entrer en matière sur le fond.</w:t>
      </w:r>
    </w:p>
    <w:p>
      <w:r>
        <w:rPr>
          <w:b/>
        </w:rPr>
        <w:t>E. 2</w:t>
      </w:r>
    </w:p>
    <w:p>
      <w:r>
        <w:t>Le recours porte sur le refus de la municipalité de délivrer le permis de construire sollicité par les recourants.</w:t>
      </w:r>
    </w:p>
    <w:p>
      <w:r>
        <w:rPr>
          <w:b/>
        </w:rPr>
        <w:t>E. 3</w:t>
      </w:r>
    </w:p>
    <w:p>
      <w:r>
        <w:t>Dans un premier grief d'ordre formel, les recourants reprochent à la municipalité d'avoir insuffisamment motivé sa décision. a) Les parties ont le droit d'être entendues (cf. art. 29 al. 2 de la Constitution fédérale de la Confédération suisse du 18 avril 1999 [Cst.; RS 101], 17 al. 2 de la Constitution du Canton de Vaud du 14 avril 2003 [Cst-VD; RSV 101.01] et 33 ss LPA-VD). Le droit d'être entendu implique notamment pour l'autorité l'obligation de motiver sa décision (cf. art. 42 let. c LPA-VD). Selon la jurisprudence, la motivation d'une décision est suffisante lorsque l'autorité mentionne, au moins brièvement, les motifs qui l'ont guidée et sur lesquels elle a fondé son raisonnement, de manière à ce que l'intéressé puisse se rendre compte de la portée de celle-ci et l'attaquer en connaissance de cause. L’autorité peut se limiter à l’examen des questions décisives pour l’issue du litige; il suffit que le justiciable puisse apprécier correctement la portée de la décision et l’attaquer à bon escient et que l’autorité de recours puisse exercer son contrôle (ATF 134 I 83 consid. 4.1 et les références; TF 1C_319/2013 du 17 avril 2014 consid. 2.2.1 et les références). La motivation peut d'ailleurs être implicite et résulter des différents considérants de la décision (TF 9C_179/2015 du 22 septembre 2015 consid. 3.1 et les références). b) En l'espèce, la décision dont est recours énumère les différentes oppositions formées au projet de construction litigieux et en résume les motifs. Elle précise que le grief principal a trait au non-respect de la clause d'esthétique du règlement communal, qu'elle mentionne expressément. Elle relate ensuite les conclusions des organismes auxquels s'est adressée la municipalité pour demander conseil et mentionne les projets d'avenir de la commune en matière de planification pour la zone concernée. Ces éléments paraissent suffisants, au regard des exigences légales et jurisprudentielles précitées, pour permettre aux recourants de comprendre les raisons pour lesquelles l'autorité intimée a renoncé à lever les oppositions et refusé le permis de construire requis. Les susnommés ont d'ailleurs pu réagir en temps utile et à bon escient, par le biais de leur conseil. Le grief tiré du droit d'être entendu se révèle donc infondé.</w:t>
      </w:r>
    </w:p>
    <w:p>
      <w:r>
        <w:rPr>
          <w:b/>
        </w:rPr>
        <w:t>E. 4</w:t>
      </w:r>
    </w:p>
    <w:p>
      <w:r>
        <w:t>Dans leur mémoire de recours du 24 juillet 2015, les recourants reprochaient à la municipalité de leur avoir refusé le permis de construire sur la base d'une future planification (plan général d'affectation et plan de quartier), non encore entrée en vigueur. Il ressort toutefois de la réponse du 6 octobre 2015 de l'autorité intimée, que cette dernière n'a pas fondé sa décision sur les projets de plans en cours, si bien qu'il n'y a pas lieu d'examiner cette question plus avant. Les recourants font également grief à la municipalité d'avoir limité son pouvoir d'examen au résultat de deux préavis d'un bureau d'architecture et de la Commission d'urbanisme communale, qui ne revêtaient qu'une portée consultative. Dans sa réponse, la municipalité indique néanmoins de manière convaincante qu'elle ne s'est pas estimée liée par ces préavis, qu'elle a appréciés librement, ce que les recourants ne contestent plus.</w:t>
      </w:r>
    </w:p>
    <w:p>
      <w:r>
        <w:rPr>
          <w:b/>
        </w:rPr>
        <w:t>E. 5</w:t>
      </w:r>
    </w:p>
    <w:p>
      <w:r>
        <w:t>Les recourants se plaignent encore d'un revirement de position de la municipalité, contraire au principe de la bonne foi.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En outre, le principe de la bonne foi commande aux autorités comme aux particuliers de s'abstenir, dans les relations de droit public, de tout comportement contradictoire ou abusif.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(cf. ATF 141 V 530 consid. 6.2; ATF 137 II 182 consid. 3.6.2; ATF 131 II 627 consid. 6.1; CDAP AC.2013.0257 du 10 juin 2014 consid. 4a et les références). b) En l'occurrence, les recourants affirment que le projet de construction litigieux a été élaboré en étroite collaboration avec le service technique communal, qui les aurait rencontrés à plusieurs reprises "pour aboutir à un préavis favorable de la municipalité, donné oralement". Ces circonstances ne ressortent toutefois pas des éléments au dossier. En particulier, rien ne permet de supposer que le service en question se soit engagé, au nom de l'autorité intimée, à ce que le projet soit entériné par la suite. Or, les recourantes Swiss Eco Top Quality Habitat Ste-Croix Sàrl et Nideal Immobilier Sàrl, toutes deux actives dans le domaine de l'immobilier, ne pouvaient ignorer que seule la municipalité était compétente pour délivrer ou non l'autorisation de construire sollicitée. Dans ces circonstances, le moyen tiré du principe de la bonne foi est également mal fondé.</w:t>
      </w:r>
    </w:p>
    <w:p>
      <w:r>
        <w:rPr>
          <w:b/>
        </w:rPr>
        <w:t>E. 6</w:t>
      </w:r>
    </w:p>
    <w:p>
      <w:r>
        <w:t>Les recourants estiment enfin que l'autorité intimée n'était pas justifiée à invoquer la clause d'esthétique pour faire obstacle à leur projet de construction. a) A teneur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 Sainte-Croix, l'art. 3 RPA dispose que, pour préaviser sur des projets importants d'urbanisme ou de police des constructions, la municipalité prend l'avis de la commission consultative d'urbanisme (al. 1). Au surplus, l'autorité peut consulter d'autres personnes compétentes ou bureaux spécialisés en matière d'urbanisme et de police des constructions (al. 3). L'art. 87 RPA, applicable à tou t es les zones, a pour sa part la teneur suivante: " La Municipalité veille à un aménagement harmonieux du territoire communal. Tous travaux susceptibles de compromettre l’aspect et le caractère d’un site ou d’un groupe de constructions sont interdits. Elle peut: a) interdire les entrepôts ou dépôts ouverts à la vue du public. Elle peut exiger en tout temps que les dépôts existants soient enlevés; b) interdire les constructions, agrandissements, transformations de toutes espèces, les matériaux, les peintures, les affiches, etc. de nature à nuire au bon aspect des lieux; c) imposer une implantation, une pente du toit ou une orientation des faîtes, notamment pour tenir compte des caractéristiques des bâtiments voisins; d) exiger la plantation d’arbres et de haies pour masquer les installations existantes et en fixer les essences; e) prendre toutes mesures destinées à assurer un aspect convenable aux installations et travaux non soumis à autorisation, principalement à proximité des routes, chemins et sentiers; f) prendre des dispositions exceptionnelles pour sauvegarder l’esthétique d’un quartier ou pour tenir compte de situations acquises, notamment à la limite de deux zones ". b) Selon la jurisprudence, il incombe au premier chef aux autorités municipales de veiller à l'aspect architectural des constructions; elles disposent à cet égard d'un large pouvoir d'appréciation. Dans ce cadre, l'autorité doit cependant prendre garde à ce que la clause d'esthétique ne vide pas pratiquement de sa substance la réglementation de la zone en vigueur.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Tel sera par exemple le cas s’il s’agit de protéger un site, un bâtiment ou un ensemble de bâtiments présentant des qualités esthétiques remarquables qui font défaut à l'ouvrage projeté ou que mettrait en péril sa construction (cf. ATF 115 Ia 363 consid. 3 et les références; TF 1C_506/2011 du 22 février 2012 consid. 3.3 et les références; CDAP AC.2013.0378 du 12 mars 2014 consid. 5b/bb et les références). Selon le Tribunal fédéral, en matière d'esthétique des constructions, l'autorité communale qui apprécie les circonstances locales dans le cadre de l'octroi d'une autorisation de construire, bénéficie ainsi d'une liberté d'appréciation particulière, que l'autorité de recours contrôle avec retenue (cf. art. 3 al. 2 LAT).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(arrêts 1C_ 1C_80/2015 du 22 décembre 2015 consid. 2.2; 1C_92/2015 du 18 novembre 2015 consid. 3.1.3 et les arrêts cités; dans ce sens: Olivier Schuler, Kognition zwischen Rechtsweggarantie und Gemeindeautonomie in bau- und planungsrechtlichen Verfahren, 2015, p. 75-77).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LPA-VD).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(CDAP AC.2013.0478 du 3 septembre 2014 consid. 1a/cc et les références). c) Dans le cas présent, les recourants sont d'avis que les constructions projetées s'inscrivent harmonieusement dans leur contexte environnemental, qui n'est pas d'une beauté particulière, n'offre pas de vue exceptionnelle et ne présente pas d'intérêt public prépondérant justifiant sa protection. En particulier, l'orientation, la volumétrie et la modénature des immeubles d'habitation situés sur les parcelles n os 188, 925 et 927 sont disharmonieuses. Les immeubles prévus tiennent compte de manière adéquate de la configuration de la parcelle ( orientation, ensoleillement, déclivité etc.) et du bâti existant (petits volumes en amont de l'avenue de Neuchâtel, grands volumes de trois à cinq étages en aval de la parcelle 57, auxquels s'ajoute un immeuble de cinq étages sur la parcelle 3254 qui surplombe le bien-fonds litigieux). Aux yeux des recourants, les immeubles projetés correspondent ainsi au gabarit des autres immeubles d'habitation de la zone mais revêtent un caractère moins fonctionnel et plus esthétique. Leur esthétique n'est du reste pas sans rappeler fortement le dernier immeuble construit sur la zone, déjà cité (parcelle 3254). Enfin, les recourants contestent, point après point, les critiques émises contre leur projet par le bureau Team+. De leur avis, l'évasement de la toiture tend à réduire l'impact du projet, le deuxième pignon correspond à celui du bâtiment sis sur la parcelle 3254 et les façades soi-disant monotones, qui présentent une typicité similaires au bâtiment précité, sont autrement plus expressives que celles des bâtiments d'habitation sis en contrebas. Ils concluent à cet égard que la note de Team+ ne tient pas compte de l'environnement architectural du projet, qu'elle est en bonne partie erronée, qu'elle n'exprime en fin de compte que l'opinion partiale de son auteur et qu'elle est en somme parfaitement irrelevante pour rejeter le projet litigieux. A l'audience, les recourants ont encore expliqué que le deuxième pignon avait été réalisé, après discussion avec la municipalité, dans le but d'apporter plus de lumière. Une implantation nord-sud aurait rendu la construction plus imposante en mettant en évidence le pignon principal. Les autres parties estiment au contraire que les recourants ont privilégié une exploitation maximale de la parcelle au détriment de son intégration dans le quartier, que les futurs bâtiments ont été mal étudiés et sont de surcroît surdimensionnés. L'apparence des constructions est péjorée par leur aménagement dans une pente relativement marquée; en effet en raison du mode de calcul à la corniche selon l'art. 92 RPA (moyenne des angles principaux du bâtiment, jusqu'à l'arête supérieure de la corniche), on obtient une façade sud d'une hauteur excessive, dont la disproportion est encore aggravée par l'aménagement des garages au rez inférieur et l'évasement de la toiture. Le secteur devant en principe rester libre de construction selon l'ISOS, il se justifie d'accorder un poids important à la clause d'esthétique et aux objectifs de sauvegarde. Elles se rallient aux conclusions du rapport du bureau d'urbanisme Team+ du 23 avril 2015 à cet égard et relèvent en outre que le projet ne respecte pas les objectifs préconisés par l'ISOS. c) Comportant un faîte parallèle aux courbes de niveau, les deux immeubles projetés s'ouvrent vers l'aval par une façade de 25 m de large pour le bâtiment A et de 17,90 m pour le bâtiment B, sur une hauteur comportant cinq niveaux sous la corniche, auquel il faut ajouter, pour le bâtiment A, deux niveaux apparaissant dans un large pignon supplémentaire au milieu de sa façade aval et, pour le bâtiment B, un niveau inscrit dans un décrochement de la toiture aval. Il est apparu lors de l’inspection locale que les deux futurs bâtiments seront érigés, en substance, à mi-pente d’une butte (cf. compte rendu d'audience). Au vu de leur implantation sur une telle élévation, les immeubles projetés surplomberont nécessairement les constructions existantes au sud sur le replat en contrebas. Il s’avère de surcroît que les futurs bâtiments comptent un à deux niveaux de plus que la quasi totalité des constructions érigées à leurs pieds. L’effet de domination et de disproportion s’en trouvera accru, d’autant plus encore que les constructions existant à l’est revêtent des dimensions relativement modestes. Quant à l'évasement de la toiture et l'impact visuel des façades, notamment pour ce qui concerne la face sud des garages aménagés au premier niveau apparent des bâtiments, ils ne contribueront pas à une bonne intégration du projet. Par ailleurs, Sainte-Croix figure à l'ISOS comme "village urbanisé" d'importance nationale. L'emprise des futurs bâtiments se situe dans le "périmètre environnant IX". Ce périmètre est décrit comme un "coteau avec prés entre le quartier Bellevue et un lotissement de maisons individuelles plus récent, zone tampon faisant partie de l'arrière-plan du site", et constitue "une partie indispensable du site construit, libre de constructions ou dont les constructions participent à l'état d'origine de l'environnement", l'objectif étant "la sauvegarde de l'état existant en tant qu'espace agricole ou libre". Un tel objectif de non bâtir n'est certes pas contraignant pour la municipalité, mais il doit être pris en considération dans l'appréciation des projets de construction. A cet égard, on ne peut dénier que l'édification de deux constructions aussi imposantes en largeur et en hauteur dans leurs gabarits visibles en arrière-plan du village de Sainte-Croix s'inscrit en rupture avec les exigences d'homogénéité et de cohérence découlant des recommandations de l'ISOS. Dans ces conditions, compte tenu de la grande latitude d’appréciation dont bénéficient les communes en termes d’esthétique et d’intégration des constructions, force est dès lors de retenir que la décision communale incriminée, rendue en application des art. 86 LATC et 87 RPA, repose sur une appréciation soutenable des circonstances pertinentes, que le tribunal est tenu de respecter. Le refus du permis de construire devant être confirmé pour ce seul motif, il s’avère superflu d’examiner les autres griefs soulevés par les opposants.</w:t>
      </w:r>
    </w:p>
    <w:p>
      <w:r>
        <w:rPr>
          <w:b/>
        </w:rPr>
        <w:t>E. 7</w:t>
      </w:r>
    </w:p>
    <w:p>
      <w:r>
        <w:t>Vu ce qui précède, le recours est rejeté et la décision attaquée confirmée. Succombant, les recourants assumeront les frais judiciaires, ainsi qu’une indemnité de dépens en faveur de l’autorité intimée et des opposants.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