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AC.2015.0155 vom 10. Juni 2016</w:t>
      </w:r>
    </w:p>
    <w:p>
      <w:r>
        <w:t>VD Tribunal cantonal, 2016-06-10, FR</w:t>
      </w:r>
    </w:p>
    <w:p>
      <w:r>
        <w:rPr>
          <w:b/>
        </w:rPr>
        <w:t xml:space="preserve">Quelle: </w:t>
      </w:r>
      <w:r>
        <w:t>https://mcp.opencaselaw.ch/entscheid/vd_omni_AC.2015.0155</w:t>
      </w:r>
    </w:p>
    <w:p>
      <w:r>
        <w:t>FR: VD_OMNI AC.2015.0155 du 10 juin 2016</w:t>
      </w:r>
    </w:p>
    <w:p>
      <w:r>
        <w:t>IT: VD_OMNI AC.2015.0155 del 10 giugno 2016</w:t>
      </w:r>
    </w:p>
    <w:p>
      <w:pPr>
        <w:pStyle w:val="Heading2"/>
      </w:pPr>
      <w:r>
        <w:t>Regeste</w:t>
      </w:r>
    </w:p>
    <w:p>
      <w:r>
        <w:t>COLLET, FALQUET, HOEFLIGER, PASSERAUB, ABBATTISTA, LADOR, MOTTIER, PITTET/Municipalité de Bremblens, VAUTHIER, REO Immobilier Sàrl | Recours contre une décision autorisant la construction de trois bâtiments d'habitation avec un parking souterrain sur la parcelle des constructeurs. - Pas de nécessité de soumettre les modifications des aménagements extérieurs à une nouvelle enquête publique. Le fait de soumettre ces modifications à une enquête publique complémentaire est suffisant (art. 72b RLATC) (consid. 2). - Pas d'obligation pour la municipalité d'appliquer l'art. 77 LATC en relation avec la modification de la LAT du 15 juin 2012 (art. 15 al. 2 LAT) (consid. 3). - Pas de violation du droit d'être entendus des recourants (consid. 4). - Rejet des griefs relatifs à l'emplacement et au nombre de places de stationnement (consid. 5 et 6). - Les aménagements relatifs à la rampe d'accès et à la voie d'accès sont conformes aux recommandations du rapport du bureau technique mandaté par la municipalité. Les recourants ne font valoir aucun élément objectif propre à mettre en cause les conclusions de ce rapport (consid. 7). - La voie d'accès est suffisante pour accueillir le trafic supplémentaire. Rejet du recours. Recours au TF rejeté (1C_326/2016 du 7 décembre 2017).</w:t>
      </w:r>
    </w:p>
    <w:p>
      <w:pPr>
        <w:pStyle w:val="Heading2"/>
      </w:pPr>
      <w:r>
        <w:t>Erwägungen</w:t>
      </w:r>
    </w:p>
    <w:p>
      <w:r>
        <w:rPr>
          <w:b/>
        </w:rPr>
        <w:t>E. 1</w:t>
      </w:r>
    </w:p>
    <w:p>
      <w:r>
        <w:t>Compte tenu de la jonction des causes AC.2015.0155 et AC.2015.0364, il y a lieu de statuer sur les deux recours par un seul arrêt. Les décisions attaquées, par lesquelles la municipalité a levé les oppositions à un projet de construction pour lequel elle a délivré un permis de construire, sont susceptibles d'un recours de droit administratif au sens des art. 92 ss de la loi du 28 octobre 2008 sur la procédure administrative (LPA-VD; RSV 173.36). Les deux recours ont été déposés en temps utile et ils respectent les exigences légales de motivation (art. 76, 77 et 79 LPA-VD, par renvoi de l'art. 99 LPA-VD).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(voir dans la jurisprudence fédérale, ATF 137 II 40 consid. 2.3). Le propriétaire d'un bien-fonds directement voisin, qui a formé opposition lors de l'enquête publique, a en principe qualité pour recourir lorsqu'il critique notamment les effets de la construction projetée. Ces conditions sont remplies pour les recourants qui ont tous formé opposition et sont propriétaires de fonds directement voisins ou très proches de la parcelle litigieuse. Il y a donc lieu d'entrer en matière.</w:t>
      </w:r>
    </w:p>
    <w:p>
      <w:r>
        <w:rPr>
          <w:b/>
        </w:rPr>
        <w:t>E. 2</w:t>
      </w:r>
    </w:p>
    <w:p>
      <w:r>
        <w:t>Les recourants soutiennent que les modifications relatives aux places de parc et à l'accès au parking souterrain ne pouvaient pas faire l'objet d'une enquête publique complémentaire.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en cas de modification très importante ou sensible du projet: il faut considérer que le constructeur présente un nouveau projet, soumis à une nouvelle procédure administrative complète, donc à une nouvelle enquête publique (principale) selon l’art. l'art. 109 al. 1 de la loi cantonale du 4 décembre 1985 sur l'aménagement du territoire et les constructions (LATC; RSV 700.11) (AC.2014.0051 du 13 janvier 2015 consid. 2). Contrairement à ce que soutiennent les recourants, les aménagements prévus sur une parcelle pour l'accès des véhicules aux garages et aux places de parc ne font pas partie de l'équipement au sens de l'art. 19 de la loi fédérale sur l'aménagement du territoire (LAT; RS 700) mais constituent des raccordements privés (cf. notamment AC.2014.0068 du 21 juillet 2014 consid. 4a); il s'agit d'éléments du projet de construction. Une modification de ces éléments, par rapport au premier projet, peut être autorisée dans le cadre de la même procédure d'autorisation de construire, car cela ne change pas sensiblement la nature du projet, qui reste en l'occurrence un ensemble de trois maisons d'habitation. A fortiori, une enquête publique complémentaire – modalité destinée à recueillir l'avis de tous les intéressés – est possible. Il n'y a pas lieu de déterminer précisément la portée de la première décision de la municipalité, du 22 mai 2015. Avec la seconde décision, du 19 novembre 2015, elle constitue une décision d'octroi du permis de construire et de levée des oppositions. Dès lors qu'une légère modification du projet avait été envisagée par les constructeurs peu avant la première décision municipale – selon l'engagement formel annexé à cette décision -, il était donc conforme aux dispositions légales précitées de prévoir une enquête publique complémentaire, plutôt que de recommencer la procédure administrative ab ovo . Ce premier grief des recourants est mal fondé.</w:t>
      </w:r>
    </w:p>
    <w:p>
      <w:r>
        <w:rPr>
          <w:b/>
        </w:rPr>
        <w:t>E. 3</w:t>
      </w:r>
    </w:p>
    <w:p>
      <w:r>
        <w:t>Les recourants font ensuite grief à la municipalité de ne pas avoir appliqué l'art. 77 LATC (effet anticipé d'un projet de plan) pour refuser le permis de construire. Ils soutiennent qu'en raison de la révision de la LAT du 15 juin 2012, entrée en vigueur le 1er mai 2014 (RO 2014 p. 899 ss) et de la modification du plan directeur cantonal à venir, la commune devra réduire sa zone à bâtir (cf. art 15 al. 2 LAT) et que la parcelle n° 16 serait certainement destinée à être déclassée. a) Selon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Le refus du permis de construire sur la base de l'art. 77 LATC s'apparente à une mesure provisionnelle qui doit empêcher que la réalisation d'un projet conforme à une réglementation devenue inadaptée ne compromette la révision de cette dernière (arrêt TF 1C_197/2009 du 28 août 2009 consid. 5.1). Comme d'autres restrictions à la garantie de la propriété, une telle mesure doit reposer sur l'intérêt public et respecter le principe de la proportionnalité. L'art. 77 LATC n'est pas une disposition impérative. Elle confère seulement à la municipalité la faculté de refuser le permis de construire (AC.2014.0389 du 15 décembre 2015 consid. 1; AC.2014.0377 du 10 juin 2015 consid. 7; AC.2008.0324 du 15 novembre 2008 consid. 2c; AC.2008.0137 du 9 mars 2009 consid. 2). b) Selon la jurisprudence cantonale, la modification de la LAT du 15 juin 2012 ne remet pas, a priori, en cause le droit des propriétaires d'obtenir un permis de construire pour un projet conforme à un plan en vigueur (cf. notamment AC.2014.0389 du 15 décembre 2015 consid. 1; AC.2014.0314 du 4 septembre 2015). C'est le cas pour le projet de trois bâtiments d'habitation sur la parcelle n° 16 classée dans la zone du village B qui est destinée à l'habitation et aux activités non gênantes pour le voisinage (cf. art. 53 RPAPC). La municipalité était donc fondée à ne pas appliquer l'art. 77 LATC dans le cas d'espèce. Ce grief est rejeté.</w:t>
      </w:r>
    </w:p>
    <w:p>
      <w:r>
        <w:rPr>
          <w:b/>
        </w:rPr>
        <w:t>E. 3.2</w:t>
      </w:r>
    </w:p>
    <w:p>
      <w:r>
        <w:t>et 3.3, p. 5). Le projet modifié mis à l'enquête publique complémentaire en octobre 2015 tient compte de ces remarques. Les places de parc bordant la rampe de sortie ont été supprimées et les deux voies de la rampe d'accès, dans sa partie supérieure, ont été aménagées selon trois déclivités différentes, respectivement de 0% au débouché de la chaussée, de 3% sur les 2.5 mètres suivant, puis de 8% sur 4.77 m (voir les plans du 28 septembre 2015). Le projet modifié relatif aux places de stationnement et à la rampe d'accès respecte ainsi les recommandations du rapport CERT-ARAGAO. Les recourants ne font valoir aucun élément objectif propre à mettre en cause les conclusions de ce rapport relatives à la conformité de la rampe d'accès et des places de parc, moyennant les modifications précitées. Leurs griefs à ce propos doivent donc être écartés.</w:t>
      </w:r>
    </w:p>
    <w:p>
      <w:r>
        <w:rPr>
          <w:b/>
        </w:rPr>
        <w:t>E. 4</w:t>
      </w:r>
    </w:p>
    <w:p>
      <w:r>
        <w:t>Les recourants se plaignent d'une violation de leur droit d'être entendus à cause d'une motivation insuffisante de la première décision de la municipalité. Le droit à la motivation d’une décision découle du droit d’être entendu (art. 29 al. 2 Cst.; ATF 141 V 557 consid. 3.2.1, ATF 126 I 97 consid. 2). La jurisprudence en déduit l'obligation pour l'autorité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ATF 134 I 83 consid. 4.1; ATF 129 I 232 consid. 3.2; ATF 126 I 97 consid. 2a et les arrêts cités; cf. égal. art. 42 al. 1 let. c LPA-VD). Il est vrai que la décision municipale du 22 mai 2015 est peu motivée mais, sur les points litigieux – les places de parc et la rampe d'accès au parking souterrain –, elle ne définit pas le contenu de l'autorisation de construire puisqu'un nouvel examen, après modification du projet, était réservé. Il n'est pas contesté que la second décision, du 19 novembre 2015, qui complète la première décision, est quant à elle suffisamment motivée, les opposants ayant obtenu une réponse à leurs objections leur permettant de recourir en connaissance de cause. En définitive, le permis de construire a été octroyé dans le respect des garanties relatives à la motivation des décisions.</w:t>
      </w:r>
    </w:p>
    <w:p>
      <w:r>
        <w:rPr>
          <w:b/>
        </w:rPr>
        <w:t>E. 5</w:t>
      </w:r>
    </w:p>
    <w:p>
      <w:r>
        <w:t>Les recourants font valoir que le parking souterrain et les places de parc ne respectent pas les exigences de l'art. 55 RPAPC. a) Cette disposition, qui se trouve dans les dispositions régissant la zone du village B, a la teneur suivante: "Le nombre de places de parc sera d'une place et demie par unité d'habitation et d'une demi-place de stationnement par place de travail. Elles seront réalisées exclusivement le long de la rue de quartier. La moitié des places de stationnement exigées seront prévues dans des couverts." b) La jurisprudence cantonale reconnaît à la municipalité un certain pouvoir d’appréciation dans l’interprétation qu’elle fait de ses règlements communaux (cf. notamment AC.2015.0102 du 19 novembre 2015 consid. 3; AC.2014.0417 du 3 novembre 2015 consid. 3b/aa; AC.2014.337 du 3 mars 2015 consid. 4b). Selon le Tribunal fédéral, l'autorité cantonale de recours n'est cependant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(arrêt TF 1C_103/2008 du 23 septembre 2008 consid. 2.4 et les arrêts cités). Lorsque plusieurs interprétations sont envisageables, il faut s’en tenir à celle qui respecte l’exigence d’une base légale précise pour les restrictions du droit de propriété issues du droit public (arrêts AC.2009.0229 du 20 juillet 2010 consid. 1b, AC.2009.0167 du 22 mars 2010 consid. 4, AC.2007.0267 du 5 mai 2008 consid. 5). c) La municipalité a expliqué en l'espèce que le but de cette disposition est d'éviter qu'une parcelle soit entamée par des surfaces de stationnement à l'intérieur de celle-ci au détriment d'espaces verts. Elle estime que cet objectif est atteint par l'aménagement d'un parking souterrain qui n'entame pas les surfaces vertes et réduit le nombre de places de parc en surface. En outre, dans la mesure où la moitié des places sont souterraines, il n'y a pas lieu d'exiger que les autres places en surfaces soient couvertes. Cette interprétation est admissible. En effet, le nombre de places autorisées au total correspond au nombre fixé à l'art. 55 al. 1 RPAPC (voir également infra, consid. 6). La création d'un parking souterrain n'induit donc pas un nombre non réglementaire de places de parc pour ce projet. En outre, le règlement communal n'interdit pas explicitement l'aménagement d'un parking souterrain dans la zone du village B et celui-ci n'entraîne pas pour les voisins de nuisances plus importantes que si ces places de parc avaient été aménagées en bordure de la voie publique, dans des couverts. Dans ces conditions, l'interprétation que fait la municipalité de l'art. 55 al. 2 et 3 RPAPC peut être confirmée. Ce grief est également mal fondé.</w:t>
      </w:r>
    </w:p>
    <w:p>
      <w:r>
        <w:rPr>
          <w:b/>
        </w:rPr>
        <w:t>E. 6</w:t>
      </w:r>
    </w:p>
    <w:p>
      <w:r>
        <w:t>Les recourants critiquent le nombre de places de stationnement. Ils estiment qu'il faudrait appliquer les normes VSS et ils se réfèrent à cet égard à l'art. 40a RLATC. Aux termes de cette disposition, la réglementation communale fixe le nombre de places de stationnement pour les véhicules à moteur et les deux-roues légers non motorisés, dans le respect des normes de l'Association suisse des professionnels de la route et des transports et en fonction de l'importance et de la destination de la construction (al. 1). A défaut de réglementation communale conforme aux normes en vigueur, celles-ci sont applicables aux véhicules motorisés et aux deux-roues légers non motorisés (al. 2). Néanmoins, le Tribunal cantonal a jugé que l'art. 40a RLATC ne disposait pas d'une base légale suffisante dans la LATC et que les normes VSS ne peuvent être appliquées que si le règlement communal y renvoie directement (AC.2014.0157 du 16 avril 2015 consid. 3c et la jurisprudence citée). Il n'y a donc pas lieu ici d'appliquer l'art. 40a RLATC mais bien l'art. 55 al. 1 RPAPC qui exige une place de parc et demie par unité d'habitation, ce qui correspond aux dix-huit places de parc prévues par le projet modifié. Ce grief est rejeté.</w:t>
      </w:r>
    </w:p>
    <w:p>
      <w:r>
        <w:rPr>
          <w:b/>
        </w:rPr>
        <w:t>E. 7</w:t>
      </w:r>
    </w:p>
    <w:p>
      <w:r>
        <w:t>Les recourants critiquent l'accès aux places de parc, ainsi que la rampe d'accès au parking souterrain. Dans son rapport de mars 2015 (dernière version), le bureau CERT-ARAGAO s'est prononcé sur les modifications relatives aux places de parc et à la rampe d'accès qui ont été soumises à la municipalité par les constructeurs (cf. p. 4, 5 et 7 du rapport). Il a estimé que la nouvelle disposition des places de parc en oblique (avec un angle de 75°) par rapport à l'axe de la chaussée et leur dimension (2.60 m) respectait la largeur de la voie de circulation préconisée par la norme VSS 640'291a intitulée "disposition et géométrie des installations de stationnement" (cf. pt. 3.1, p. 4 du rapport). Au demeurant, le projet autorisé par la municipalité prévoit des conditions d'accès aux places de parc en surface plus favorables que celles préconisées par l'expert, puisque les cases ont une largeur de 2.90 m, avec un angle de 60°. L'expert a en outre retenu que grâce à la séparation de la voie d'entrée et de la voie de sortie du parking souterrain, la voie d'entrée était strictement conforme à la norme VSS 640'291a. En revanche, la voie de sortie était légèrement supérieure à la déclivité préconisée par ladite norme (8%). L'expert a en outre constaté que l'élargissement du virage à l'entrée du parking assurait de bonnes conditions d'accès et de sortie ainsi que de circulation (pt. 3.5, p. 7). Il demandait que la déclivité de la rampe de sortie du parking dans sa partie supérieure soit réduite et que les places de parc adjacentes à la rampe de sortie, qui obstruaient la visibilité sur les piétons ou les cyclistes pouvant survenir de ce côté, soient supprimées (pt.</w:t>
      </w:r>
    </w:p>
    <w:p>
      <w:r>
        <w:rPr>
          <w:b/>
        </w:rPr>
        <w:t>E. 8</w:t>
      </w:r>
    </w:p>
    <w:p>
      <w:r>
        <w:t>Les recourants soutiennent que l’accès par le chemin de Roffens serait dangereux, compte tenu du trafic supplémentaire induit par le projet. a) Conformément à l'art. 22 al. 2 let. b LAT, l'autorisation de construire n'est délivrée que si le terrain est équipé. L'art. 104 LAT a la même teneur. Aux termes de l'art. 19 al. 1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(ATF 121 I 65 consid. 3a ; arrêt du TF 1C_532/2012 du 25 avril 2013 et les références citées).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arrêt du TF 1C_246/2009 du 1 er février 2010 consid. 2 et les références citées). b) La municipalité, en mandatant un bureau d'ingénieurs spécialisé, a veillé à pouvoir ainsi disposer des données nécessaires pour apprécier l'organisation des circulations dans le quartier et pour déterminer si l'accès aux parcelles litigieuses peut être considéré comme adapté. Selon les conclusions du rapport CERT-ARAGAO, les chemin de Roffens et de Radez pourront accueillir, sans difficulté le trafic supplémentaire induit par le projet, dans de bonne conditions de fluidité et de sécurité vis-à-vis des usagers. En tenant compte de vingt-quatre places de parc, le trafic total sur les chemins de Roffens et de Radez s'élèverait à 184 véhicules/jour alors que ces vois d'accès permettent d'accueillir jusqu'à 500 véhicules/jour (p. 11 du rapport). Or, le projet modifié prévoit dix-huit places de parc. Au vu de ces éléments, il est manifeste que les voies d'accès sont adaptées. Il n'y a pas lieu de se prononcer, dans le présent arrêt, sur l'opportunité d'étudier d'autres voies d'accès (accès par le sud, soit depuis la route cantonale), puisque l'accès par le nord, via une voie publique communale, est adéquat et que les terrains desservis par ce chemin disposent d'un équipement suffisant. Ce grief est également mal fondé.</w:t>
      </w:r>
    </w:p>
    <w:p>
      <w:r>
        <w:rPr>
          <w:b/>
        </w:rPr>
        <w:t>E. 9</w:t>
      </w:r>
    </w:p>
    <w:p>
      <w:r>
        <w:t>Il résulte des considérants que les recours, entièrement mal fondés, doivent être rejetés. Cela entraîne la confirmation des décisions attaquées. Les recourants, qui succombent, supporteront les frais de justice, mais ils n'auront pas à payer des dépens aux constructeurs, qui n'ont mandaté un avocat qu'après la fin de l'échange d'écritures; en revanche, la municipalité, qui a répondu avec l'assistance d'un avocat, a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