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AC.2015.0149 vom 22. April 2016</w:t>
      </w:r>
    </w:p>
    <w:p>
      <w:r>
        <w:t>VD Tribunal cantonal, 2016-04-22, FR</w:t>
      </w:r>
    </w:p>
    <w:p>
      <w:r>
        <w:rPr>
          <w:b/>
        </w:rPr>
        <w:t xml:space="preserve">Quelle: </w:t>
      </w:r>
      <w:r>
        <w:t>https://mcp.opencaselaw.ch/entscheid/vd_omni_AC.2015.0149</w:t>
      </w:r>
    </w:p>
    <w:p>
      <w:r>
        <w:t>FR: VD_OMNI AC.2015.0149 du 22 avril 2016</w:t>
      </w:r>
    </w:p>
    <w:p>
      <w:r>
        <w:t>IT: VD_OMNI AC.2015.0149 del 22 aprile 2016</w:t>
      </w:r>
    </w:p>
    <w:p>
      <w:pPr>
        <w:pStyle w:val="Heading2"/>
      </w:pPr>
      <w:r>
        <w:t>Regeste</w:t>
      </w:r>
    </w:p>
    <w:p>
      <w:r>
        <w:t>Golay/Municipalité de Moudon, Service Immeubles, Patrimoine et Logistique | Recours contre la décision municipale interdisant au propriétaire de repeindre les façades de son immeuble, ayant obtenu la note 2 au recensement architectural de la Commune, au moyen d'une teinte bleue. La décision d'autoriser ou non des travaux sur un bâtiment recensé en note 2 et qui figure à l'inventaire prévu à l'art. 49 LPNMS, pour lequel le département a renoncé à ouvrir une procédure de classement, relève de la compétence de la Municipalité qui applique l'art. 86 LATC et les dispositions topiques du règlement communal. En l'occurrence, le refus de la Municipalité de la teinte litigieuse procède d'une appréciation objective fondée notamment sur des considérations historiques solides et étayées par l'autorité cantonale spécialisée. Son appréciation peut donc être confirmée. Rejet du recours.</w:t>
      </w:r>
    </w:p>
    <w:p>
      <w:pPr>
        <w:pStyle w:val="Heading2"/>
      </w:pPr>
      <w:r>
        <w:t>Erwägungen</w:t>
      </w:r>
    </w:p>
    <w:p>
      <w:r>
        <w:rPr>
          <w:b/>
        </w:rPr>
        <w:t>E. 1</w:t>
      </w:r>
    </w:p>
    <w:p>
      <w:r>
        <w:t>Le recourant conteste le refus de la Municipalité d'autoriser la réfection des façades de son immeuble en bleu, couleur autorisée en 1984. a) La loi fédérale du 22 juin 1979 sur l'aménagement du territoire (LAT; RS 700)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 al. 1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(art. 17 al. 1 let. c LAT).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biens déterminés tels que des bâtiments ou des monuments naturels ou culturels (ATF 111 Ib 257, consid. 1a; AC.2009.0175 du 19 février 2010). Font notamment partie des autres mesures réservées par l'art. 17 al. 2 LAT, les inventaires et classements prévus par le droit cantonal, les clauses générales de protection, les clauses d'esthétique (Moor, Commentaire LAT, art. 17, n. 83-93; AC.2013.0348 du 22 juillet 2015, consid. 2c), ainsi que la loi vaudoise du 10 décembre 1969 sur la protection de la nature, des monuments et des sites (LPNMS ; RSV 450.11).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ss LPNMS) ainsi qu'un inventaire lié à la protection spéciale des monuments historiques et des antiquités (art. 49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b) Le recensement architectural n'est pas prévu expressément dans la LPNMS. Celui-ci trouve son fondement à l’art. 30 RLPNMS, qui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(AC.2014.0376 précité; AC.2012.0176 précité consid. 2a/bb ; AC.2010.0125 du 29 novembre 2010 consid. 2b).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doit être ouverte dans les trois mois suivant l'annonce des travaux projetés par le propriétaire; à ce défaut, les travaux sont réputés autorisés (cf. à ce sujet AC.2009.0175 du 19 février 2010). c) En droit vaudois, la loi du 4 décembre 1985 sur l'aménagement du territoire et les constructions (LATC; RSV 700.11)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Par ailleurs, l'art. 86 LATC comporte une "clause d’esthétique",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(AC.2009.0175 précité, consid. 2b et les références citées). d) En l'occurrence, le bâtiment litigieux a été d'abord recensé en notre 3, puis en note 2 dès 2003. Il figure à l'inventaire prévu à l'art. 49 LPNMS. Le SIPAL a précisé qu'il n'envisageait pas pour l'instant d'ouvrir une procédure de classement du bâtiment litigieux, tout en étant opposé à la couleur de façade bleue souhaitée par le recourant. Dans un tel cas, son préavis négatif doit être assimilé à une observation ou une opposition formulée dans le cadre de la procédure d'autorisation de compétence municipale sur laquelle cette dernière autorité devra statuer. La Municipalité n’est ainsi pas tenue de respecter le préavis du SIPAL, mais il lui appartient en revanche d’examiner si les conditions qui ressortent de sa compétence, et notamment le respect de l’art. 86 al. 2 LATC et de son règlement communal, sont remplies et qu’elle statue ensuite sur cette base (cf. AC.2014.0376 précité, consid. 1 et les références citées).</w:t>
      </w:r>
    </w:p>
    <w:p>
      <w:r>
        <w:rPr>
          <w:b/>
        </w:rPr>
        <w:t>E. 2</w:t>
      </w:r>
    </w:p>
    <w:p>
      <w:r>
        <w:t>La Municipalité a refusé d'autoriser la couleur de façade bleue requise pour des motifs esthétiques.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AC.2014.0208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(AC.2014.0389 du 18 décembre 2015 consid. 8c; AC.2014.0208 précité consid. 4a; AC.2012.0388 du 28 novembre 2013 consid. 6a et les références; AC.2013.0207 du 26 novembre 2013 consid. 3a; AC.2013.0258 du 19 novembre 2013 consid. 3a; AC.2012.0113 et AC.2011.0065 précités). Sur le plan communal, les art. 18 ss RPEC régissent l'intégration architecturale des bâtiments. Conformément à l'art. 18 al. 2 RPEC, la Municipalité peut prendre toute mesure pour éviter l'enlaidissement de la zone du centre. Elle peut refuser le permis de construire ou ordonner les modifications pour des projets dont la qualité architecturale est jugée insuffisante. L'art. 19 RPEC régit expressément les façades et prévoit que l'architecture des façades doit s'harmoniser avec celle des bâtiments existants, notamment en ce qui concerne le choix des matériaux et les détails de construction, la forme, les proportions et la répartition des ouvertures (portes, fenêtres, etc.). Des exceptions peuvent être admises si un projet contient une amélioration évidente du point de vue esthétique ou urbanistique. L'art. 20 RPEC interdit les peintures extérieures, les enduits et les matériaux de façades, dont la teinte trop sombre ou trop vive peut nuire au bon aspect du lieu. b) L'appréciation de la Municipalité s'est essentiellement fondée sur l'avis du SIPAL. Dans son préavis du 22 avril 2015, le SIPAL a indiqué que la substance patrimoniale du bâtiment litigieux justifiait une attention particulière, en se référant à un ouvrage de 2006 (Monique Fontannaz, Les Monuments d'art et d'histoire du Canton de Vaud, Tome VI, La Ville de Moudon): " La maison bourgeoise ECA 37 est l'ancien Hôtel du Grand Cerf. D'après Monique Fontannaz, dans son livre sur la ville de Moudon qui le décrit sur quatre pages, cet édifice est sans doute l'un des exemples vaudois les plus anciens et les mieux conservés parmi les établissements publics de catégorie supérieure." Dans ses déterminations du 6 août 2015, le SIPAL a encore expliqué que l'analyse et l'appréciation du bien immobilier litigieux a évolué au fil du temps. C'est la raison pour laquelle le bâtiment a été réévalué en note *2* en 2003. Il convenait également de tenir compte de l'inventaire ISOS qui considère Moudon comme une ville d'intérêt national. Compte tenu de ces éléments et à la lumière des connaissances historiques récentes, une plus grande attention sur l'utilisation des couleurs se justifie aujourd'hui. Sur ce dernier point, le SIPAL a précisé qu'il ne s'était pas prononcé à l'époque sur la teinte bleue autorisée par la Municipalité. On extrait de sa réponse ses explications suivantes sur la couleur des façades: "[...] S'agissant de la problématique des couleurs des façades des bâtiments historiques, la première règle guidant la pratique des autorités cantonales compétentes en matière de protection du patrimoine bâti consiste à se rappeler que les couleurs de l'architecture dépendent en premier lieu des matériaux utilisés localement. C'est ainsi que, dans nos régions, le blanc de la chaux grasse – le seul liant connu jusqu'à l'arrivée des ciments – a constitué l'essentiel des couleurs de façades, du Moyen-Age au XIX e siècle. La pierre de taille, quant à elle, est soit grise quand il s'agit de molasse, soit jaune à gris-blanc quand il s'agit de calcaire jurassien. En ce qui concerne le bois, qu'il faut en général protéger, le gris clair domine pour les avant-toits, le vert colore plus de 90% des volets, le gris clair – couleur destinée à atténuer les chocs thermiques dus au soleil – protège les menuiseries des fenêtres. La seconde règle veut que l'on ait presque toujours appliqué sur les immeubles un décor. Celui-ci pouvait aller d'une simple couche de peinture uniforme à un dessin très élaboré comportant un fond de façade et des éléments structurants de type encadrements, chaînes d'angle, cordons, etc. Dans certains cas, c'est même un faux appareil de pierres de taille régulier qui recouvrait le vrai appareil de construction irrégulier. Ces décors avaient en effet pour but soit de régulariser l'apparence d'un immeuble (lorsqu'il était construit avec des éléments hétérogènes), soit d'imiter des matériaux nobles que l'on n'avait pas les moyens de s'offrir (pierre de Neuchâtel au lieu de molasse, par ex.). La troisième règle tient à l'économie des moyens utilisés, qui voit souvent les décors limités aux façades principales, les murs pignons et les cheminées, en particulier, n'étant jamais décorés de décors peints. A ces règles de base s'ajoutent le fait que les couleurs disponibles se situaient pour des raisons techniques et financières dans une gamme limitée au blanc, à des ocres jaunes et ocres roses et au noir (ou plus exactement aux différents tons de gris). Le bleu (trop cher) et le vert (pas assez stable) étaient réservés aux intérieurs des édifices d'exception (voûtes d'églises, peintures murales, etc.). De plus, les ocres utilisés à l'extérieur restaient confinés à des nuances claires, la couleur "saturant" avec les peintures à la chaux à un certain niveau d'intensité, quelque soit la quantité de pigment utilisée en trop. Il résulte de ces quelques règles une architecture dans laquelle la couleur tient une place maîtrisée et précise, qui donne aux monuments et sites bâtis historiques du Canton de Vaud tout leur caractère et leur valeur. Dans le cas d'espèce, il n'est pas aisé de déterminer avec précision depuis quand la couleur bleue a été utilisée sur ce bâtiment. Néanmoins, on peut affirmer que ce type de peinture "moderne" date de quelques décennies et fait perdre son caractère au bâtiment en question. Ces peintures n'existent que depuis quelques dizaines d'années. On constate par ailleurs que les immeubles de la Rue Grenade à Moudon sont de couleur beige-jaune et que la couleur bleue est unique et exceptionnelle, à la fois pour ce type de bâtiment historique du début 19 e ainsi que pour Moudon. Cette teinte n'a aucune référence avec l'aspect des constructions avoisinantes. Force est de constater qu'en plus de ne pas correspondre aux couleurs traditionnellement utilisées pour des bâtiments historiques vaudois, elle ne s'harmonise en aucun cas aux bâtiments situés au centre de Moudon. [...]" Le SIPAL a encore confirmé ces explications en audience. Son dossier comporte des photographies de l'immeuble litigieux prises à une date incertaine entre 1976 et 1981, révélant une couleur de façade ocre-jaune. Dans sa réponse au recours, du 1 er septembre 2015, la Municipalité s'est référée à ces explications et a rappelé que sa décision était prise en application de la réglementation communale et de l'art. 86 LATC notamment. Elle a précisé que si la teinte bleue avait été autorisée en 1984, c'est parce que la Municipalité n'avait pas connaissance à ce moment-là des considérations historiques et architecturales motivant la position du SIPAL, compte tenu des recherches effectuées depuis lors tant sur le site exceptionnel de la ville de Moudon que sur le bâtiment lui-même, son histoire, son aspect et ses caractéristiques au sein de la ville. La Municipalité conteste par ailleurs un quelconque droit acquis à une teinture particulière lorsqu'il s'agit, comme en l'espèce, de repeindre un bâtiment. A la lumière des explications circonstanciées qui précèdent, le Tribunal constate que le refus de la Municipalité de la teinte litigieuse procède d'une appréciation objective fondée notamment sur des considérations historiques solides et étayées émanant de l'autorité cantonale spécialisée. Le Tribunal ne voit aucune raison de s'écarter de cette appréciation, s'agissant au demeurant uniquement de la couleur de façade d'un bâtiment. Il convient en conséquence de confirmer cette appréciation.</w:t>
      </w:r>
    </w:p>
    <w:p>
      <w:r>
        <w:rPr>
          <w:b/>
        </w:rPr>
        <w:t>E. 3</w:t>
      </w:r>
    </w:p>
    <w:p>
      <w:r>
        <w:t>Le recourant semble s'opposer à la décision dans la mesure où la couleur litigieuse a été autorisée précédemment et existe depuis une trentaine d'années. a) Le Tribunal fédéral a certes précisé qu'en matière de droit des constructions, le droit de l'autorité d'exiger le rétablissement d'un état conforme au droit se périme, pour des motifs de sécurité du droit, par principe après trente ans, sauf si le rétablissement d'un état conforme au droit est dicté par des motifs touchant la police des constructions stricto sensu, c'est-à-dire s'il y a danger concret pour la vie ou la santé des habitants ou des passants. Le délai de trente ans commence à courir dès la fin de l'exécution de la construction ou partie de construction non réglementaire. Toutefois, lorsque les autorités, même si elles interviennent bien avant l'échéance du délai de trente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trente ans (AC.2012.0341 du 10 septembre 2014 et les références citées; ATF 132 II 21 consid. 6.3 p. 39; ATF 136 II 359). b) Dans le cas présent, il ne s'agit pas d'exiger le rétablissement d'une situation non conforme au droit, la teinte litigieuse ayant été autorisée, mais d'apprécier le choix d'une teinte de façade à l'occasion d'une demande de rénovation d'un immeuble. Le recourant ne saurait ainsi se prévaloir d'un droit acquis à conserver une teinte que la Municipalité ne souhaite plus autoriser au vu de l'évolution des circonstances, en particulier l'inscription du bâtiment à l'inventaire, et de l'évolution des connaissances historiques en matière de coloration des façades. Ce grief est rejeté.</w:t>
      </w:r>
    </w:p>
    <w:p>
      <w:r>
        <w:rPr>
          <w:b/>
        </w:rPr>
        <w:t>E. 4</w:t>
      </w:r>
    </w:p>
    <w:p>
      <w:r>
        <w:t>Le recourant fait encore grief à la décision d'être arbitraire. Il allègue en particulier que le SIPAL admettrait de manière systématique l'utilisation de diverses couleurs dont des bleus pastel, sur des bâtiments protégés ailleurs dans le canton. Il a produit plusieurs photographies de bâtiments sis dans d'autres localités vaudoises, ainsi que dans d'autres cantons. II y a arbitraire prohibé par l'art. 9 Cst. lorsque la décision attaquée viole gravement une règle ou un principe juridique clair et indiscuté ou lorsqu'elle contredit d'une manière choquante le sentiment de la justice ou de l'équité (cf. notamment TF 1C_387/2009 du 6 avril 2010 consid 4.1; ATF 140 III 264 consid. 2.3) . Dans le cas présent, le SIPAL a rappelé en audience que son intervention n'est pas systématique, mais répond en général à une demande de consultation par la municipalité. Son appréciation sera également fonction des circonstances particulières. S'agissant de bâtiments historiques, la nuance de la couleur doit se rapprocher des couleurs qui prévalaient à l'époque considérée. A cela s'ajoute que la compétence pour statuer sur la teinte litigieuse appartient, comme on l'a vu, à la Municipalité qui dispose d'un large pouvoir d'appréciation et qui tiendra avant tout compte des circonstances locales. On ne saurait ainsi lui reprocher le refus d'une teinte particulière, quand bien même cette teinte aurait été admise dans une autre localité. Au vu des éléments au dossier et des motifs circonstanciés retenus ci-dessus, la décision contestée ne procède manifestement pas d'une appréciation arbitraire. Ce grief est en conséquence rejeté.</w:t>
      </w:r>
    </w:p>
    <w:p>
      <w:r>
        <w:rPr>
          <w:b/>
        </w:rPr>
        <w:t>E. 5</w:t>
      </w:r>
    </w:p>
    <w:p>
      <w:r>
        <w:t>Il résulte des considérants qui précèdent que le recours doit être rejeté et la décision contestée confirmée. Succombant, le recourant supportera l'émolument de justice ainsi qu'une indemnité à titre de dépens en faveur de l'autorité intimée qui a procédé avec l'assistance d'un mandataire professionnel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