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AC.2015.0064 vom 29. Februar 2016</w:t>
      </w:r>
    </w:p>
    <w:p>
      <w:r>
        <w:t>VD Tribunal cantonal, 2016-02-29, FR</w:t>
      </w:r>
    </w:p>
    <w:p>
      <w:r>
        <w:rPr>
          <w:b/>
        </w:rPr>
        <w:t xml:space="preserve">Quelle: </w:t>
      </w:r>
      <w:r>
        <w:t>https://mcp.opencaselaw.ch/entscheid/vd_omni_AC.2015.0064</w:t>
      </w:r>
    </w:p>
    <w:p>
      <w:r>
        <w:t>FR: VD_OMNI AC.2015.0064 du 29 février 2016</w:t>
      </w:r>
    </w:p>
    <w:p>
      <w:r>
        <w:t>IT: VD_OMNI AC.2015.0064 del 29 febbraio 2016</w:t>
      </w:r>
    </w:p>
    <w:p>
      <w:pPr>
        <w:pStyle w:val="Heading2"/>
      </w:pPr>
      <w:r>
        <w:t>Regeste</w:t>
      </w:r>
    </w:p>
    <w:p>
      <w:r>
        <w:t>RIBES, CAGAN/Municipalité de St-Légier-La Chiésaz, SI NORIMMOB C SA, JOSS | Problématique d'excroissances ou d'ouvertures dans la toiture. Rappel de la jurisprudence cantonale concernant les ouvertures en toiture lorsqu'une réglementation communale ne contient aucune disposition (consid. 6c). Si le règlement communal ne prévoit, sous le titre d'"ouverture en toiture, combles", que des tabatières et lucarnes qui respectent certaines dimensions maximales, une ouverture en lucarne-pignon ou lucarne-fronton de taille nettement plus grande (14 m de long au segment inférieur et presque 5 m de haut à l'arête supérieure de la corniche de ses deux pans) que les dimensions indiquées dans le règlement ne peut pas être autorisée. Rien n'y change que le règlement n'exclut pas explicitement d'autres sortes d'ouvertures en toiture (consid. 4 à 6). Question laissée ouverte lorsqu'il ne s'agit pas juste d'une ouverture en toiture, mais que cette ouverture est combinée avec un décrochement par rapport à la façade principale (consid. 6f). De plus, l'ensemble formé des balcons, d'une profondeur de 1,5 m, et de dite lucarne-pignon, débordant de 1,50 m des façades principales, constitue un avant-corps entrant dans le calcul des dimensions du bâtiment; la largeur maximale prévue par le règlement communal étant ainsi dépassée de 1,5 m, le projet est également illicite sur ce point (consid. 7).</w:t>
      </w:r>
    </w:p>
    <w:p>
      <w:pPr>
        <w:pStyle w:val="Heading2"/>
      </w:pPr>
      <w:r>
        <w:t>Erwägungen</w:t>
      </w:r>
    </w:p>
    <w:p>
      <w:r>
        <w:rPr>
          <w:b/>
        </w:rPr>
        <w:t>E. 1</w:t>
      </w:r>
    </w:p>
    <w:p>
      <w:r>
        <w:t>Le recours a été formé devant le tribunal compétent, dans le délai et le respect des formes prescrites (art. 79, 92, 95 et 99 de la loi vaudoise du 28 octobre 2008 sur la procédure administrative [LPA-VD; RSV 173.36]). Les recourants sont propriétaires respectivement des parcelles n° 2802 et n° 1872 de la Commune de St-Légier-La Chiésaz, qui jouxtent la parcelle n° 1871 sur laquelle est prévue la construction litigieuse, et ils ont participé à la procédure devant l'autorité intimée, de sorte que la qualité pour recourir doit leur être reconnue (art. 75 al. 1 let. a et 99 LPA-VD). Le recours est donc recevable à ce titre.</w:t>
      </w:r>
    </w:p>
    <w:p>
      <w:r>
        <w:rPr>
          <w:b/>
        </w:rPr>
        <w:t>E. 2</w:t>
      </w:r>
    </w:p>
    <w:p>
      <w:r>
        <w:t>Les recourants font valoir que le projet est trop volumineux, leur bouche la vue et n'est pas en harmonie avec le tissu construit environnant, se référant aux art. 55 RPE et 86 de la loi du 4 décembre 1985 sur l'aménagement du territoire et les constructions (LATC; RSV 700.11). a) D'après un principe généralement applicable en procédure administrative, lorsqu'une autorité de recours statue par un arrêt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Elle voit donc sa latitude de jugement limitée par le dispositif et les motifs de ce jugement, en ce sens qu'elle est liée par ce qui a été déjà définitivement tranché par l'autorité de recours, laquelle ne saurait, de son côté, revenir sur sa décision à l'occasion d'un recours subséquent (arrêts CDAP GE.2014.0228 du 5 mars 2015 consid. 2; AC.2012.0207 du 2 juillet 2013 consid. 2; FI 2013.0011 du 23 mai 2013 consid. 1; ATF 140 III 466 consid. 4.2.1; ATF 135 III 334 consid. 2; ATF 133 III 201 consid. 4.2; cf. aussi Bovay / Blanchard / Grisel Rapin, Procédure administrative vaudoise annotée, éd. 2012, note 1.1 ad. art. 90 LPA-VD ). Quant aux parties, elles ne peuvent plus faire valoir dans un nouveau recours contre la nouvelle décision des moyens qui avaient été rejetés ou admis dans l'arrêt de renvoi (arrêt CDAP FI 2013.0011 précité consid. 1; ATF 133 III 201 consid. 4.2 et les références). b) Dans l'arrêt rendu le 28 août 2014, la Cour de droit administratif et public s'est déjà prononcée à propos de l’obstruction de la vue, de la volumétrie de la construction projetée et de son intégration. Elle a jugé que le projet était conforme aux art. 86 LATC et 55 RPE et qu'il ne pouvait pas être interdit au motif qu'il restreindrait le droit à la vue des recourants (cf. consid. 2 dudit arrêt). Dès lors que le projet n'a pas subi d'autre modification que celles touchant les terrasses, balcons et la lucarne-pignon, dont la profondeur a été quelque peu réduite en façade sud, aspects qui seront traités par la suite au considérant 4, les recourants ne sauraient pour le reste revenir sur les autres problématiques du volume, de l'aspect du projet et de l’obstruction de la vue. Certes, l’arrêt du 28 août 2014 ne représente pas une décision de renvoi au sens propre du terme. Cependant, les recourants ne font rien valoir de neuf qui serait déterminant en l’espèce et la constructrice n’a pas procédé à des changements qui remettraient en cause l’appréciation effectué par le Tribunal dans son arrêt du 28 août 2014. Dans cette mesure, il peut être renvoyé à la motivation de cet arrêt à ses considérants 2b à d. Pour être complet, ces considérants sont reproduits de manière intégrale comme suit : « b)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le règlement communal de St-Légier-La Chiésaz, ces principes sont notamment mis en œuvre à l’art. 55 RPE, qui prévoit que la municipalité " prend toutes les mesures pour éviter l’enlaidissement du territoire communal" et que "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 c) Selon la jurisprudence, il incombe au premier chef aux autorités communales de veiller à l’aspect architectural des constructions; elles disposent à cet égard d’un large pouvoir d’appréciation (ATF 115 Ia 114 consid. 3d, 363 consid. 3b; arrêt AC.2012.0032 du 24 août 2012 consid. 1a). Dans ce cadre, l’autorité doit prendre garde à ce que la clause d’esthétique ne vide pas pratiquement de sa substance la réglementation de la zone en vigueur (ATF 115 Ia 114; 114 Ia 345; arrêt AC.2012.0032 précité consid. 1a).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arrêt du Tribunal fédéral 1C_57/2011 du 17 octobre 2011 consid. 3.1.2 ; arrêt AC.2012.0032 précité consid. 1a). Il faut alors que l’utilisation des possibilités de construire réglementaires apparaisse déraisonnable et irrationnelle (ATF 115 Ia 114; 114 Ia 345; 101 Ia 213 consid. 6c; arrêt AC.2012.0032 précité consid. 1a).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précité consid. 1a et les arrêts cités). L’intégration d’une construction ou d’une installation à l’environnement bâti doit être examinée sur la base de critères objectifs, sans sacrifier à un goût ou à un sens esthétique particulièrement aigu, afin que le poids de la subjectivité, inévitable dans toute appréciation, n’influe que dans les limites de principes éprouvés et par référence à des notions communément admises (arrêt AC.2012.0032 précité consid. 1a et les arrêts cités). d) En l’occurrence, la parcelle no 1871 se trouve en zone d'habitations collectives. Sur la parcelle voisine no 1866, appartenant d'ailleurs aux recourants Ribes, un autre petit immeuble est déjà largement construit. La zone est appelée à se développer et à se densifier. C'est ainsi que la grande parcelle située à l'ouest accueillera une série de bâtiments. Quoi qu'en disent les recourants, la parcelle no 1871 n'est pas "quasiment enclavée" dans la zone de villas, même si elle se trouve à la limite de celle-ci, qui la borde au nord et à l'est. Les constructions aux alentours ne présentant pas des qualités esthétiques remarquables, il n’y a pas d’intérêt public qui commanderait d’interdire la réalisation du projet litigieux sur la base des art. 86 LATC et 55 RPE. Dans ces conditions, la Cour estime, après avoir procédé à une inspection locale, que l'autorité intimée n'a pas abusé de son pouvoir d'appréciation en considérant que le projet litigieux s'intégrerait dans son environnement. En outre, il convient de ne pas confondre obligation d’esthétique et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AC.2011.0294 du 24 septembre 2012 consid. 2, AC.2011.0216 du 26 mars 2012 et les références). Dans le cas présent, aucune règle communale ne protège spécifiquement le droit à la vue dans la zone concernée. La construction projetée ne saurait par conséquent être interdite pour le seul motif qu'elle restreindrait la vue des recourants. Le recours est mal fondé sur ce point. »</w:t>
      </w:r>
    </w:p>
    <w:p>
      <w:r>
        <w:rPr>
          <w:b/>
        </w:rPr>
        <w:t>E. 3</w:t>
      </w:r>
    </w:p>
    <w:p>
      <w:r>
        <w:t>Les recourants estiment en outre que les 13 places de parc prévues pour</w:t>
      </w:r>
    </w:p>
    <w:p>
      <w:r>
        <w:rPr>
          <w:b/>
        </w:rPr>
        <w:t>E. 8</w:t>
      </w:r>
    </w:p>
    <w:p>
      <w:r>
        <w:t>Vu ce qui précède, le recours doit être admis et la décision attaquée annulée. La constructrice et la propriétaire succombant, elles supportent les frais de la procédure, solidairement entre elles (art. 49 al. 1 et 51 al. 2 LPA-VD ; art. 4 TFJDA). Il en va de même des dépens, à payer aux recourants assistés par un mandataire professionnel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