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AC.2015.0032 vom 27. Juli 2016</w:t>
      </w:r>
    </w:p>
    <w:p>
      <w:r>
        <w:t>VD Tribunal cantonal, 2016-07-27, FR</w:t>
      </w:r>
    </w:p>
    <w:p>
      <w:r>
        <w:rPr>
          <w:b/>
        </w:rPr>
        <w:t xml:space="preserve">Quelle: </w:t>
      </w:r>
      <w:r>
        <w:t>https://mcp.opencaselaw.ch/entscheid/vd_omni_AC.2015.0032</w:t>
      </w:r>
    </w:p>
    <w:p>
      <w:r>
        <w:t>FR: VD_OMNI AC.2015.0032 du 27 juillet 2016</w:t>
      </w:r>
    </w:p>
    <w:p>
      <w:r>
        <w:t>IT: VD_OMNI AC.2015.0032 del 27 luglio 2016</w:t>
      </w:r>
    </w:p>
    <w:p>
      <w:pPr>
        <w:pStyle w:val="Heading2"/>
      </w:pPr>
      <w:r>
        <w:t>Regeste</w:t>
      </w:r>
    </w:p>
    <w:p>
      <w:r>
        <w:t>GREEN PACK SA, FANKHAUSER/Municipalité de Molondin, Service du développement territorial | Autorisation spéciale ainsi que permis de construire refusés concernant une structure modulaire d'une dimension de 10m x 20m et d'une hauteur maximale de 5m70 déjà construite dans une zone intitulée "zone para-agricole" et ordre donné par le SDT de démolir cette structure et d'évacuer les matériaux qui la composent. Confirmation de l'ordre de remise en état de cette structure qui, réalisée sans l'autorisation cantonale spéciale requise, ne peut être régularisée a posteriori (consid. 8).</w:t>
      </w:r>
    </w:p>
    <w:p>
      <w:pPr>
        <w:pStyle w:val="Heading2"/>
      </w:pPr>
      <w:r>
        <w:t>Erwägungen</w:t>
      </w:r>
    </w:p>
    <w:p>
      <w:r>
        <w:rPr>
          <w:b/>
        </w:rPr>
        <w:t>E. 1</w:t>
      </w:r>
    </w:p>
    <w:p>
      <w:r>
        <w:t>Les décisions attaquées, soit celle du SDT refusant la régularisation d'une structure modulaire d'une dimension de 10 m x 20 m et d'une hauteur maximale de</w:t>
      </w:r>
    </w:p>
    <w:p>
      <w:r>
        <w:rPr>
          <w:b/>
        </w:rPr>
        <w:t>E. 5</w:t>
      </w:r>
    </w:p>
    <w:p>
      <w:r>
        <w:t>m 70 et qui comporte des bureaux, un secrétariat et une salle de conférences, serait conforme à l'affectation de la zone agricole au sens des art. 16a LAT et 34 ss OAT. Dans leur écriture du 18 mai 2015, les recourants précisent d'ailleurs que les activités actuellement exercées sur le site relèveraient clairement de la transformation et du conditionnement de matières premières, soit du secteur secondaire et non du secteur primaire. A supposer par ailleurs que la zone para-agricole se trouverait dans une partie de la zone agricole que le canton aurait désignée, moyennant une procédure de planification, pour accueillir des constructions et installations dépassant le cadre de ce qui peut être admis au titre du développement interne (art. 16 al. 3 LAT), il ressort de l'art. 52a al. 2 LATC que les constructions liées aux activités dépassant le cadre de ce qui peut être admis au titre de développement interne et liées à des exploitations agricoles, horticoles et viticoles existantes ne peuvent y être autorisées que dans la mesure où elles respectent les prescriptions définies par le règlement communal, ce qui n'est, comme on le verra ci-après (cf. consid. 5b), en l'occurrence pas le cas. b) Dans l'hypothèse où la zone para-agricole constituerait une zone spéciale au sens des art. 18 LAT et 50a LATC, l'on ne saurait considérer que la construction en cause serait conforme à l'affectation du secteur particulier de la zone para-agricole dans lequel elle se trouve. En effet, cette structure modulaire provisoire est sise dans le secteur de circulation et place, soit en dehors du périmètre d'implantation des constructions à l'intérieur duquel les constructions et installations nouvelles doivent être édifiées (art. 4 al. 1 RPPA "En Greybin"). Or, conformément à l'art. 9 RPPA "En Greybin", le secteur de circulation et place est destiné à accueillir les places de parc nécessaires aux livreurs, aux clients et au personnel ainsi que des couverts, pour autant qu'ils correspondent à la définition de dépendances de minime importance au sens de l'art. 39 RLATC, et non pas une construction de 10 m x 20 m et d'une hauteur maximale de 5 m 70 qui comporte, ainsi que l'indiquent les recourants dans leur recours, des bureaux, un secrétariat et une salle de conférences. La construction en cause n'étant pas conforme au secteur de circulation et place, elle ne pourrait le cas échéant être autorisée qu'à l'aune des dispositions dérogatoires des art. 24 ss LAT.</w:t>
      </w:r>
    </w:p>
    <w:p>
      <w:r>
        <w:rPr>
          <w:b/>
        </w:rPr>
        <w:t>E. 6</w:t>
      </w:r>
    </w:p>
    <w:p>
      <w:r>
        <w:t>L'art. 24a LAT, qui a trait au changement d'affectation de constructions et d'installations sises hors de la zone à bâtir ne nécessitant pas de travaux de transformation, n'est pas applicable en l'espèce, dès lors que des travaux sont en cause et qu’il ne s’agit pas uniquement d’un changement d’affectation (cf. ATF 127 II 215 consid. 4 ; TF 1A.214/2002 du 12 septembre 2003 consid. 5.1.1, partiellement publié in RDAF 2006 p. 622 et ZBl 2005 p. 152 ; 1C_254/2009 du 25 septembre 2009 consid. 2.3 ; Muggli, op. cit., n° 9 ss ad art. 24a LAT). Tel ne saurait non plus être le cas de l'art. 24b LAT, qui traite des activités accessoires non agricoles hors de la zone à bâtir, activités qui supposent, ce qui n'est pas le cas en l'occurrence, que l'on soit en présence d'une entreprise agricole au sens de la loi fédérale sur le droit foncier rural (LDFR) qui ne peut subsister sans un revenu complémentaire. L'art. 24c LAT soumet pour sa part à certaines conditions la rénovation, la transformation partielle, l'agrandissement mesuré et la reconstruction de constructions et installations anciennes sises hors de la zone à bâtir. Cette disposition est applicable aux constructions et installations qui ont été érigées ou transformées légalement avant l'attribution du bien-fonds à un territoire non constructible au sens du droit fédéral (art. 41 OAT). La date déterminante est en principe celle du 1 er juillet 1972, date de l'entrée en vigueur de l'ancienne loi fédérale du 8 octobre 1971 sur la protection des eaux contre la pollution (aLPEP; RO 1972 I 958) – abrogée par la loi fédérale du 24 janvier 1991 sur la protection des eaux (LEaux; RS 814.20) – qui a introduit expressément le principe de la séparation du territoire bâti et non bâti (cf. ATF 129 II 396 consid. 4.2.1; 127 II 209 consid. 2c). Construite en 2012, sans qu'en outre une modification quant au zonage de la parcelle en cause ne soit par la suite intervenue, la construction en cause ne peut être mise au bénéfice de l'art. 24c LAT. N'est pas non plus applicable à l'ouvrage litigieux, qui comporte des bureaux, un secrétariat et une salle de conférences, l'art. 24d al. 1 LAT qui prévoit que l'utilisation de bâtiments d'habitation agricoles conservés dans leur substance peut être autorisée à des fins d'habitation sans rapport avec l'agriculture. Tel ne saurait non plus être le cas de l'art. 24d al. 2 LAT, dont l'application est subordonnée à l'existence de constructions et d'installations jugées dignes d'être protégées. La question ne se pose pas non plus pour l'art. 24e LAT, qui concerne la détention d'animaux à titre de loisirs, ni pour l'art. 37a LAT, qui a trait aux changements d'affectation de constructions et d'installations à usage commercial qui ont été érigées avant le 1 er janvier 1980 ou qui sont devenues contraires à l'affectation de la zone en raison d'une modification du plan d'affectation. La situation ne peut ainsi être examinée que sous l'angle de l'art. 24 LAT.</w:t>
      </w:r>
    </w:p>
    <w:p>
      <w:r>
        <w:rPr>
          <w:b/>
        </w:rPr>
        <w:t>E. 7</w:t>
      </w:r>
    </w:p>
    <w:p>
      <w:r>
        <w:t>a) L'art. 24 LAT prévoit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d'une installation est imposée par sa destination au sens de l'art. 24 let. a LAT, d'après la jurisprudence constante du Tribunal fédéral, lorsqu'elle requiert un emplacement spécifique en dehors de la zone à bâtir pour des motifs techniques, d'exploitation, en raison de la disponibilité du sol ou encore lorsqu'elle est exclue de le zone à bâtir pour des motifs spécifiques (ATF 136 II 214 consid. 2.1 p. 218; 132 II 21 consid. 7.2 p. 44; 129 II 63 consid. 3.1 p. 68). Une implantation relativement imposée par sa destination suffit: il n'est pas nécessaire qu'absolument aucun autre emplacement n'entre en considération; il suffit que des raisons particulièrement importantes et objectives fassent apparaître l'emplacement prévu comme beaucoup plus avantageux que d'autres endroits à l'intérieur de la zone à bâtir (ATF 136 II 214 consid. 2.1 p. 218, et les références citées). Une construction existante non conforme à l'affectation de la zone ne justifie pas, en tant que telle, une extension de l'utilisation contraire à l'affectation de la zone, et ne permet par conséquent pas de reconnaître l'implantation de nouvelles installations non conformes à l'affectation de la zone comme imposée par sa destination (Muggli, op. cit., n° 13 ad art. 24 LAT). La jurisprudence a toutefois admis dans certains cas que l'implantation hors de la zone à bâtir d'un nouvel ouvrage non conforme à la zone puisse être imposée par sa destination à titre "dérivé", lorsqu'il constitue une annexe à une exploitation principale existante. Il faut cependant que l'implantation hors de la zone à bâtir de l'ouvrage principal ait elle-même été imposée par sa destination et que des impératifs techniques et économiques sérieux propres à l'exploitation principale rendent indispensable la réalisation de la nouvelle construction à l'endroit et dans les dimensions prévus (arrêts TF 1C_55/2012, 1C_56/2012, 1C_57/2012 du 27 juin 2013 consid. 4; 1A.26/2003 du 22 avril 2003 consid. 5; ATF 124 II 252 consid. 4c, et les arrêts cités). Le Tribunal fédéral a néanmoins jugé qu'il fallait faire preuve de retenue avant d'admettre que les conditions de l'implantation d'un ouvrage imposée par sa destination à titre "dérivé" étaient remplies (ATF 124 II 252 consid. 4d). Les constructions sises hors de la zone à bâtir devant, selon l'intention du législateur, rester exceptionnelles, celui-ci a limité les motifs de dérogation valables à des circonstances objectives définies de façon très restrictive ( M uggli , op. cit., n° 9 ad art. 24 LAT). Les points de vue subjectifs du constructeur, les considérations financières ou les motifs de convenance personnelle n'entrent pas en ligne de compte dans l'appréciation (ATF 129 II 63 consid. 3.1 p. 68, et les arrêts cités; cf. également arrêts CDAP AC.2014.0398 du 7 décembre 2015 consid. 11a; AC.2014.0240 du 14 juillet 2015 consid. 8a; AC.2014.0178 du 6 juillet 2015 consid. 3a). b) La création en zone inconstructible d'une structure modulaire, qui comporte des bureaux, un secrétariat et une salle de conférences, non conforme à l'affectation de la zone ne répond objectivement à aucune nécessité technique, économique ou inhérente à la disponibilité du sol. Les recourants n'indiquent par ailleurs pas que des impératifs techniques et économiques sérieux rendraient indispensable le maintien de la construction en cause à l'endroit et dans les dimensions prévus. Une construction de la dimension requise n'est en outre a priori nullement exclue en zone à bâtir, s'agissant d'autant plus d'une structure modulaire provisoire. Les soucis de convenance personnelle des recourants ne justifient pas l'octroi d'une dérogation au sens de l'art. 24 LAT. c) Vu ce qui précède, la construction en cause ne peut pas être autorisée, voire régularisée.</w:t>
      </w:r>
    </w:p>
    <w:p>
      <w:r>
        <w:rPr>
          <w:b/>
        </w:rPr>
        <w:t>E. 8</w:t>
      </w:r>
    </w:p>
    <w:p>
      <w:r>
        <w:t>Dans la mesure où l'ouvrage litigieux, qui a été réalisé sans l'autorisation cantonale spéciale requise (art. 120 al. 1 let. a LATC), ne peut être régularisé a posteriori , il reste à examiner l'ordre de remise en état.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CDAP AC.2015.0062 du 11 mars 2016 consid. 9a; AC.2015.0087 du 9 février 2016 consid. 2b; AC.2014.0398 du 7 décembre 2015 consid. 12a). Le respect du principe de la proportionnalité exige qu'il soit procédé à une pesée des intérêts publics et privés opposés (principe de la proportionnalité au sens étroit, impliquant une pesée des intérêts en présence – ATF 137 I 167 consid. 3.6 p. 175/176; 136 I 87 consid. 3.2 p. 91/92, 197 consid. 4.4.4 p. 205, et les arrêts cités). 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123 II 248 consid. 3a/bb p. 252; cf. aussi arrêts TF 1C_61/2014 du 30 juin 2015 consid. 5.1; 1C_544/2014 du 1 er avril 2015 consid. 4.1). Même un constructeur qui n'est pas de bonne foi peut invoquer le principe de proportionnalité. Toutefois, celui qui place l'autorité devant un fait accompli doit s'attendre à ce que celle-ci se préoccupe plus de rétablir une situation conforme au droit que d'éviter les inconvénients qui en découlent pour lui (ATF 123 II 248 consid. 4a p. 255; 111 Ib 213 consid. 6b p. 224; cf. aussi arrêts TF 1C_61/2014 du 30 juin 2015 consid. 5.1; 1C_544/2014 du 1 er avril 2015 consid. 4.1).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p. 40; 111 Ib 213 consid. 6b p. 225; arrêts TF 1C_61/2014 du 30 juin 2015 consid. 5.3; 1A.301/2000 du 28 mai 2001 consid. 6c, in ZBl 103/2002 p. 364). Les constructions illégales, contraires à la LAT, doivent en principe être démolies; à défaut, le principe de la séparation du territoire bâti et non bâti serait battu en brèche, et la violation de la loi récompensée (ATF 136 II 359 consid. 6 p. 364).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39 ss). b) Selon la jurisprudence, une autorisation délivrée en dehors de la zone à bâtir par l'autorité communale est absolument nulle, l'autorisation cantonale étant un élément constitutif et indispensable; une simple autorisation communale est donc insuffisante (ATF 132 II 21 consid. 3.2.2, traduit in JdT 2006 I p. 707; 111 Ib 213, traduit in JdT 1987 I p. 630; arrêts TF 1C_483/2012, 1C_485/2012 du 30 août 2013 consid. 4.1; 1C_265/2012 du 25 mars 2013 consid. 3; 1C_537/2011 du 26 avril 2012 consid. 2.2.1; cf. aussi arrêts CDAP AC.2015.0062 du 11 mars 2016 consid. 2a; AC.2014.0398 du 7 décembre 2015 consid. 7b; AC.2014.0240 du 14 juillet 2015 consid. 3a).</w:t>
      </w:r>
    </w:p>
    <w:p>
      <w:r>
        <w:rPr>
          <w:b/>
        </w:rPr>
        <w:t>E. 9</w:t>
      </w:r>
    </w:p>
    <w:p>
      <w:r>
        <w:t>Le SDT exige la démolition du local modulaire de 200 m 2 comportant bureaux, secrétariat et salle de conférences, les matériaux devant être évacués et acheminés vers un lieu approprié. a) Les recourants considèrent que le refus de prolonger l'autorisation qui avait été délivrée par la municipalité en mai 2012 et l'ordre de démolition de la structure litigieuse apparaissent disproportionnés. Ils ne contestent certes pas que cette dernière a été érigée dans le secteur de circulation et place du PPA "En Greybin", où un tel bâtiment ne saurait en principe être aménagé. Ils font cependant valoir que cette construction a été expressément autorisée, certes à titre provisoire, par la municipalité et que la demande qu'ils ont formulée en l'occurrence ne porte en définitive que sur la prolongation de cette autorisation provisoire. Ils invoquent également le fait qu'une procédure de révision du PPA "En Greybin" a été engagée en mai 2014, révision qui vise à répondre aux besoins de développement des activités sur le site. Ils précisaient également dans leur recours qu'au terme de cette procédure de révision, soit vraisemblablement d'ici deux à trois ans, les divers aménagements sis sur la parcelle n° 10 (ndlr.: en fait désormais n° 538) seraient revus et la structure litigieuse, qui est provisoire, remplacée par de nouveaux bureaux, ailleurs sur le site; il était également prévu d'étendre le secteur d'activités (ndlr.: plutôt le périmètre d'implantation des constructions, le secteur d'activités comprenant aussi le secteur de circulation et place), qui gagnerait ainsi sur le secteur de circulation et place, notamment à l'emplacement de la structure litigieuse. Aucun intérêt prépondérant ne s'opposerait enfin au maintien temporaire de la structure en cause dans le secteur de circulation et place. b) Les recourants ne sauraient se prévaloir de leur bonne foi, en particulier du fait que la structure en cause aurait été expressément autorisée en 2012 par la municipalité. L'autorisation donnée par cette dernière ne l'avait été que pour une durée limitée de 24 mois. De toute manière, conformément à la jurisprudence précitée, une telle autorisation, s'agissant d'une construction érigée hors de la zone à bâtir, est absolument nulle. Les intéressés n'ignoraient par ailleurs visiblement pas que la parcelle n° 538 était affectée à une zone sise hors de la zone à bâtir et qu'une autorisation cantonale était dès lors nécessaire. En effet, au moment du dépôt le 25 août 2014 par le biais de leur architecte de leur demande de permis de construire concernant la mise en conformité de la structure modulaire en cause, ils ont alors indiqué, en particulier sous chiffre 12 du formulaire de demande de permis de construire, que le projet était partiellement ou entièrement hors des zones à bâtir. L'argument des recourants selon lequel l'ordre de démolition de la structure modulaire litigieuse serait disproportionné dès lors qu'une procédure de révision du PPA "En Greybin" est en cours et que d'ici deux à trois ans environ, les divers aménagements sis sur la parcelle n° 538 seraient revus n'est pas non plus déterminant. Il ressort en effet des pièces figurant au dossier relatives à cette procédure de révision que la Commune de Molondin et la Cheffe du DTE sont partiellement en désaccord sur la manière de procéder à cette révision, dont la procédure risque dès lors de durer. Les intéressés relèvent d'ailleurs dans leur recours que cette procédure pourrait durer jusqu'en 2018, soit deux ans encore. Surtout, il résulte des considérants qui précèdent que les recourants ne sauraient faire reconnaître comme conforme au droit l'ouvrage litigieux. Celui-ci a en outre été construit sans l'autorisation cantonale nécessaire en violation du principe, central en aménagement du territoire, de la séparation entre les zones bâties et non bâties, qui constitue ainsi un intérêt public important. Les dérogations à la règle ne sont de plus pas mineures, puisque c'est une construction de 10 m x 20 m et d'une hauteur maximale de 5 m 70 qui a été érigée hors de la zone à bâtir. Certes, l'intérêt des recourants est évident, puisqu'ils devront trouver un autre endroit pour accueillir les bureaux, le secrétariat et la salle de conférences qu'abrite la structure modulaire en cause. Il sied néanmoins de relever à ce propos que, lors de la demande de permis de construire déposée le 14 mai 2012 par Green Pack Swiss SA, celle-ci avait précisé que la construction litigieuse ne devrait être érigée que pour une période de 24 mois, durée que la municipalité avait d'ailleurs confirmée dans sa décision du 25 mai 2012. Les intéressés n'avaient donc en vue en 2012 que la construction d'une structure provisoire et la municipalité n’avait admis que cela. Quant au préjudice financier, que les recourants ne chiffrent par ailleurs pas, il ne saurait avoir le pas sur l'intérêt public au rétablissement d'une situation conforme au droit, sachant en particulier que des ordres de démolition et de remise en état ont été confirmés pour des montants de 300'000 fr. (arrêts TF 1C_61/2014 du 30 juin 2015 consid. 5.3; 1C_136/2009 du 4 novembre 2009; 1C_167/2008 du 22 août 2008). C'est en conséquence à juste titre que le SDT a ordonné la démolition du local modulaire litigieux de 200 m 2 comportant bureaux, secrétariat et salle de conférences, les matériaux devant être évacués et acheminés vers un lieu approprié, et que la municipalité a refusé de délivrer le permis de construire requis.</w:t>
      </w:r>
    </w:p>
    <w:p>
      <w:r>
        <w:rPr>
          <w:b/>
        </w:rPr>
        <w:t>E. 10</w:t>
      </w:r>
    </w:p>
    <w:p>
      <w:r>
        <w:t>Vu ce qui précède, le recours doit être rejeté et les décisions attaquées confirmées. Le délai d'exécution fixé au 30 avril 2015 par la décision du SDT entreprise et la date d'une séance de constat sur place fixée au 5 mai 2015 étant aujourd'hui échus, il appartiendra au SDT de fixer de nouveaux délais d'exécution et date de séance sur place. Compte tenu de l'issue de la cause, les frais judiciaires, fixés à 3'000 fr., sont mis à la charge des recourants, solidairement entre eux (art. 49, 51 al. 2, 91 et 99 LPA-VD, art. 4 al. 1 du Tarif cantonal du 28 avril 2015 des frais judiciaires et des dépens en matière administrative [TFJDA ; RSV 173.36.5.1]). Il n'est pas alloué de dépens, dans la mesure où les recourants succombent, la municipalité n'est pas assistée et où le SDT, qui obtient gain de cause, n'a, outre qu'il n'est pas assisté, de toute manière pas droit à des dépens (art. 52,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