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AC.2015.0024 vom 23. Juli 2015</w:t>
      </w:r>
    </w:p>
    <w:p>
      <w:r>
        <w:t>VD Tribunal cantonal, 2015-07-23, FR</w:t>
      </w:r>
    </w:p>
    <w:p>
      <w:r>
        <w:rPr>
          <w:b/>
        </w:rPr>
        <w:t xml:space="preserve">Quelle: </w:t>
      </w:r>
      <w:r>
        <w:t>https://mcp.opencaselaw.ch/entscheid/vd_omni_AC.2015.0024</w:t>
      </w:r>
    </w:p>
    <w:p>
      <w:r>
        <w:t>FR: VD_OMNI AC.2015.0024 du 23 juillet 2015</w:t>
      </w:r>
    </w:p>
    <w:p>
      <w:r>
        <w:t>IT: VD_OMNI AC.2015.0024 del 23 luglio 2015</w:t>
      </w:r>
    </w:p>
    <w:p>
      <w:pPr>
        <w:pStyle w:val="Heading2"/>
      </w:pPr>
      <w:r>
        <w:t>Regeste</w:t>
      </w:r>
    </w:p>
    <w:p>
      <w:r>
        <w:t>STEINBRÜCHEL C/ Municipalité d'Ollon, NORBRUIS | L'autorisation de construire une nouvelle résidence avec la charge de l'utiliser comme résidence principale n'a pas à être subordonnée à la condition que soient connus les occupants de la construction projetée. L'inscription au Registre foncier de la mention "résidence principale" prévue à l'art. 6 al. 2 de l'ordonnance (qui n'a qu'un effet déclaratif, voire purement informatif) est suffisante, sous réserve d'un abus de droit manifeste. Il n'y a pas lieu de considérer que le permis de construire ne serait valable qu'après l'inscription de la mention (cas dans lequel le conservateur à mis en suspens la réquisition de la municipalité en raison de l'existence d'une mention exigeant l'utilisation comme résidence secondaire en application de la LFAIE).</w:t>
      </w:r>
    </w:p>
    <w:p>
      <w:pPr>
        <w:pStyle w:val="Heading2"/>
      </w:pPr>
      <w:r>
        <w:t>Erwägungen</w:t>
      </w:r>
    </w:p>
    <w:p>
      <w:r>
        <w:rPr>
          <w:b/>
        </w:rPr>
        <w:t>E. 1</w:t>
      </w:r>
    </w:p>
    <w:p>
      <w:r>
        <w:t>Dans l'autorisation de construire une nouvelle résidence, l'autorité compétente fixe l'obligation de l'utiliser conformément à l'art. 4, let. a ou b.</w:t>
      </w:r>
    </w:p>
    <w:p>
      <w:r>
        <w:rPr>
          <w:b/>
        </w:rPr>
        <w:t>E. 2</w:t>
      </w:r>
    </w:p>
    <w:p>
      <w:r>
        <w:t>Dans ladite autorisation, elle ordonne à l'office du registre foncier d'inscrire la mention "résidence principale" ou résidence affectée à l'hébergement touristique qualifié sur le feuillet de l'immeuble.</w:t>
      </w:r>
    </w:p>
    <w:p>
      <w:r>
        <w:rPr>
          <w:b/>
        </w:rPr>
        <w:t>E. 3</w:t>
      </w:r>
    </w:p>
    <w:p>
      <w:r>
        <w:t>Dans un second grief, la recourante se plaint de la violation des dispositions relatives aux dépendances souterraines. a) L'al. 2 de l'art. 74 du règlement de la Commune d'Ollon - plan partiel d'affectation Les Ecovets – Chesières – Villars – Arveyes approuvé par la conseil d'Etat le 25 juin 1993 (RC) prescrit que les garages comprenant plusieurs places, les locaux pour la pratique du sport et locaux de service dont trois façades sont enterrées et dont 60% au moins du volume est réalisé en-dessous du niveau du terrain naturel, ne sont pas compris: (a) dans le calcul de la surface bâtie; (b) dans le calcul de la proportion des façades et (c) dans le calcul de la distance à la limite. Toutefois, pour de telles constructions, la distance aux fonds voisins est de 2 m au minimum. b) Selon la recourante, ces deux conditions ne sont pas réalisées. Elle estime que la façade Est du garage, laquelle est accolée au bâtiment principal, forme une entité non séparée avec celle-ci, et que la façade Ouest n'est pas enterrée, mais masquée avec un enrochement artificiel, ce qui ne serait pas compatible avec le RC. Par ailleurs, la recourante prétend que les mouvements de terre nécessaires pour les travaux ne satisfont pas aux exigences de l'art. 86 de la loi sur l'aménagement du territoire et les constructions du 4 décembre 1985 (LATC; RSV 700.11). c) Ce raisonnement ne peut être suivi. Concernant la façade Est, le fait qu'elle soit accolée au bâtiment principal n'est pas déterminant. En effet, dès lors que cette façade est invisible de l'extérieur, le but du règlement est satisfait. Quant à la façade Ouest, celle-ci doit être considérée comme étant enterrée pour les raisons suivantes: il ressort de l'inspection locale que compte tenu de la déclivité du terrain, les dépendances souterraines ne peuvent être enterrées que par le biais d'un enrochement. Par ailleurs, il semblerait que cette méthode soit couramment utilisée pour les constructions de ce type.  Ainsi, l'enrochement litigieux ne sert pas, comme le prétend la recourant, à masquer superficiellement la façade mais est une technique communément admise pour enterrer une dépendance souterraine. Il sied encore de préciser que les deux constructions en amont de la parcelle litigieuse contiennent des enrochements importants. Concernant les déplacements de terre, le RC ne prévoit pas de maximas. Ainsi, la recourante ne peut pas tirer parti de l'ampleur des mouvements de terre. Sous l'angle de l'art. 86 LATC, cet argument n'est pas non plus pertinent, la recourante ayant échoué à démontrer en quoi de tels travaux seraient de nature à enlaidir le site. Au contraire, il apparaît que la construction envisagée s'intègrera bien dans le quartier bâti. La première condition prévue par l'art. 74 al. 2 RC est donc satisfaite. Quant à la seconde condition, il ressort du plan de situation du géomètre que la dépendance souterraine sera enterrée à 82%. Elle doit dès lors également être considérée comme étant réalisée. Ainsi, ce grief doit être rejeté.</w:t>
      </w:r>
    </w:p>
    <w:p>
      <w:r>
        <w:rPr>
          <w:b/>
        </w:rPr>
        <w:t>E. 4</w:t>
      </w:r>
    </w:p>
    <w:p>
      <w:r>
        <w:t>La recourante invoque la violation des dispositions relatives au rez-de-chaussée. L'art. 66 RC prévoit ce qui suit: "Quelle que soit sa destination, le rez-de-chaussée est le niveau dont l'altitude correspond à la cote moyenne du terrain naturel (moyenne des cotes d'altitude prises aux angles saillants)". Pour des raisons topographiques, la Municipalité peut imposer une variation de plus ou moins 1.00m au maximum". Selon la recourante, les plans ne permettent pas de définir la cote moyenne du terrain naturel, la coupe F du plan du géomètre ne présentant aucune altitude et la coupe G ne correspondant pas aux angles de la façade extérieure du bâtiment. En réalité, l'altitude du terrain naturel aux angles du bâtiment ne résulte pas de la coupe F ni de la coupe G, mais du plan qui les précède sur le document du géomètre. Comme l'indique le cadre accompagnant ce plan, la moyenne des quatre angles donne une altitude de 91,0 m et le niveau du rez projeté est à 90,0 m comme le permet l'art. 66 al. 2 du règlement. Il est vrai que la coupe G, parallèle à la façade ouest mais située légèrement à l'intérieur du bâtiment, indique de part et d'autre de ce dernier les mêmes altitudes que celles qui apparaissent sur le plan déjà cité à chacune des extrémités de la façade ouest. C'est apparemment surprenant puisque le terrain est en pente mais celle-ci est faible (de l'ordre de 60 ou 70 cm sur une distance de 15 m ) si bien que l'écart reste infime. Ce grief doit par conséquent être rejeté.</w:t>
      </w:r>
    </w:p>
    <w:p>
      <w:r>
        <w:rPr>
          <w:b/>
        </w:rPr>
        <w:t>E. 5</w:t>
      </w:r>
    </w:p>
    <w:p>
      <w:r>
        <w:t>Enfin, dans un dernier grief, la recourante se plaint de la violation de l'art. 63 RC. L'art. 63 RC prescrit que " les distances entre un bâtiment et la limite de la propriété voisine est mesurée au nu de la façade, compte non tenu des terrasse non couvertes, des perrons, des seuils, des sauts de loup, des tunnels et sorties de secours pour abri, des rampes d'accès aux niveaux inférieurs, des murs en ailes ou contreforts, des balcons et galeries jusqu'à 2 m de largeur, des piscines non couvertes et autres installations semblables, et des garages enterrés définis à l'art. 74 du présent règlement. Le long du domaine public, lorsqu'il n'y a pas d'alignement, l'art. 36 de la Loi sur les Routes du 10 décembre 1991 est applicable ". Selon la recourante, les façades sud sont pourvues d'un avant-toit de 2 m de large, ce qui permettrait d'admettre que la surface qu'il recouvre soit considérée comme étant une terrasse couverte. Ainsi, selon elle, la distance aux limites de</w:t>
      </w:r>
    </w:p>
    <w:p>
      <w:r>
        <w:rPr>
          <w:b/>
        </w:rPr>
        <w:t>E. 8</w:t>
      </w:r>
    </w:p>
    <w:p>
      <w:r>
        <w:t>m serait violée. En l'occurrence, il ressort des plans de l'architecte n°005 et 015 que le toit s'avance sur les façades Est et Ouest à 2 m . Conformément à l'art. 63 RC, la distance aux limites de propriété doit donc être calculée au nu de la façade. On ne voit pas comment la surface située sous les avant-toit large de 2 m pourrait être comptée dans la surface bâtie alors que la surface située sous des balcon de même largeur ne le serait pas en vertu du texte même du règlement communal. Ce grief, mal fondé, doit donc être également rejeté. 6. Au vu de ce qui précède, le recours est rejeté aux frais de la recourante, qui doit des dépens à la commune et aux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