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AC.2015.0009 vom 4. Mai 2016</w:t>
      </w:r>
    </w:p>
    <w:p>
      <w:r>
        <w:t>VD Tribunal cantonal, 2016-05-04, FR</w:t>
      </w:r>
    </w:p>
    <w:p>
      <w:r>
        <w:rPr>
          <w:b/>
        </w:rPr>
        <w:t xml:space="preserve">Quelle: </w:t>
      </w:r>
      <w:r>
        <w:t>https://mcp.opencaselaw.ch/entscheid/vd_omni_AC.2015.0009</w:t>
      </w:r>
    </w:p>
    <w:p>
      <w:r>
        <w:t>FR: VD_OMNI AC.2015.0009 du 4 mai 2016</w:t>
      </w:r>
    </w:p>
    <w:p>
      <w:r>
        <w:t>IT: VD_OMNI AC.2015.0009 del 4 maggio 2016</w:t>
      </w:r>
    </w:p>
    <w:p>
      <w:pPr>
        <w:pStyle w:val="Heading2"/>
      </w:pPr>
      <w:r>
        <w:t>Regeste</w:t>
      </w:r>
    </w:p>
    <w:p>
      <w:r>
        <w:t>Le Coultre SA, TECHNOMAG, Communauté héréditaire de feu M. Germain Baiche, CLUB CYNOLOGIQUE DE GIMEL/Service du développement territorial, Municipalité de Saubraz | Recours contre la décision du SDT ordonnant la cessation de toutes activités économiques et la remise en état des lieux sur le site d'une ancienne gravière affectée depuis 2000 en zone agricole, où une entreprise exploite une station de lavage de tout-venant et de recyclage de matériaux de déconstruction, et où un club cynophile a installé une cabane et du matériel pour pratiquer l'agility dog. Admission partielle des recours, en ce sens que l'obligation de principe de remettre en état le terrain est confirmée, mais la cause est renvoyée à l'autorité intimée pour qu'elle examine les modalités de cette remise en état. Il faut en effet tenir compte du fait que la remise en état du site nécessitera des milliers de mouvements de camion et il est important d'examiner déjà au stade de la décision ordonnant la remise en état les modalités de cette dernière, notamment dans quelle mesure il ne serait pas pertinent de traiter sur place une partie des déchets de chantier ou de tout-venant pour limiter les transports. L'autorité intimée doit se prononcer plus précisément sur l'intérêt public à imposer une cessation immédiate des activités du club cynologique, dès lors que la remise en état du site de l'ancienne gravière prendra plusieurs années.</w:t>
      </w:r>
    </w:p>
    <w:p>
      <w:pPr>
        <w:pStyle w:val="Heading2"/>
      </w:pPr>
      <w:r>
        <w:t>Erwägungen</w:t>
      </w:r>
    </w:p>
    <w:p>
      <w:r>
        <w:rPr>
          <w:b/>
        </w:rPr>
        <w:t>E. 1</w:t>
      </w:r>
    </w:p>
    <w:p>
      <w:r>
        <w:t>La décision attaquée, qui est fondée sur des normes de la législation fédérale et cantonale sur l'aménagement du territoire, peut faire l'objet d'un recours de droit administratif au Tribunal cantonal, au sens des art. 92 ss de la loi du 28 octobre 2008 sur la procédure administrative (LPA-VD; RSV 173.36). Les quatre recourants sont tous destinataires de cette décision, qui leur impose la cessation d'activités actuelles ainsi que des mesures de remise en état; ils ont à l'évidence qualité pour recourir au sens de l'art. 75 let. a LPA-VD (par renvoi de l'art. 99 LPA-VD). Les recours ont été déposés et complétés dans le délai légal de 30 jours (art. 95 LPA-VD) et ils satisfont aux autres conditions légales de recevabilité (cf. art. 79 LPA-VD). Il y a lieu d'entrer en matière.</w:t>
      </w:r>
    </w:p>
    <w:p>
      <w:r>
        <w:rPr>
          <w:b/>
        </w:rPr>
        <w:t>E. 2</w:t>
      </w:r>
    </w:p>
    <w:p>
      <w:r>
        <w:t>Dans un premier grief, les recourants Le Coultre SA et consorts reprochent au SDT de ne pas être compétent ratione materiae , car il appartiendrait exclusivement à la Direction générale de l'environnement (DGE) d'ordonner les mesures de remise en état d'une gravière, après la fin de l'exploitation. a) L'exploitation d'une gravière est soumise aux dispositions de la loi du 24 mai 1988 sur les carrières (LCar; RSV 931.15). Les gisements de gravier sont en effet réputés carrières au sens de cette loi (art. 1 al. 1 LCar). Depuis que la LCar est en vigueur, l'exploitation d'une nouvelle gravière requiert l'adoption préalable d'un plan d'affectation spécial ("plan d'extraction") ou la délimitation, dans le plan général d'affectation de la commune, d'une "zone d'extraction" (art. 6 al. 1 LCar), sauf pour les exploitations de faible importance, qui peuvent faire l'objet d'une autorisation dérogatoire hors de la zone à bâtir (art. 6 al. 2 LCar). Le plan d'extraction doit notamment définir l'affectation future du sol et la remise en état conformément à cette affectation (art. 8 let. l LCar), de même que l'état final des terrains et les travaux de remise en état (art. 8 let. m LCar). L'extraction ne peut débuter qu'après que le département cantonal compétent – d'après l'art. 12 al. 2 LCar: le Département de la sécurité et de l'environnement, actuellement Département du territoire et de l'environnement (DTE) – a délivré un permis d'exploiter (art. 15 LCar). La loi confère au département cantonal différentes attributions. En vertu de l'art. 20 al. 1 LCar, il peut en tout temps ordonner au propriétaire et à l'exploitant de prendre les mesures nécessaires pour assurer le respect de la loi, du plan d'extraction, ou du permis d'exploiter. Il peut aussi, lorsque l'exploitation de la gravière cesse, fixer des exigences pour la remise en état du terrain (art. 28 al. 1 LCar). En principe, dans le r.ime de la loi de 1988, la remise en état est prescrite et définie par les dispositions du plan d'extraction et du permis d'exploitation (cf. art. 28 al. 1 LCar), de sorte que le département ne doit pas nécessairement prendre une décision sur ce point à la fin de l'exploitation de la gravière. b) Dans le cas particulier, l'exploitation de la gravière a été autorisée, puis a pris fin, bien avant l'entrée en vigueur de l'actuelle LCar. La remise en état, pourtant prescrite dans les permis d'exploitation de 1962 – réaménagement d'une surface plane, plantée d'un bois ou réutilisable pour l'agriculture – n'a pas été effectuée. L'art. 20 al. 1 LCar constituerait vraisemblablement une base légale suffisante pour permettre au département d'ordonner aujourd'hui à l'exploitant (ou à son successeur Le Coultre SA) voire aux propriétaires fonciers concernés de procéder aux travaux de remise en état. En l'état, pour l'application de la LCar, le service compétent du DTE est la Direction générale de l'environnement, Direction des ressources et du patrimoine naturels (DGE-DIRNA), division Géologie, sols et déchets (DGE-GEODE). Les recourantes n'ont donc pas tort d'alléguer que la DGE-DIRNA est en principe le service cantonal compétent en matière d'exploitation de gravières. Cela étant, quand la DGE-DIRNA prend des décisions dans le cadre de la LCar, elle le fait nécessairement par délégation du DTE, puisque la loi attribue au département, et non pas directement à un des services, la compétence pour autoriser l'exploitation de gravières. Or la décision attaquée a été prise par un autre service du même département, qui précise d'emblée agir par délégation du DTE. Cette décision est fondée principalement sur la législation sur l'aménagement du territoire, et il n'est pas contesté que le DTE, département en charge de l'aménagement du territoire (cf. art. 10 de la loi du 4 décembre 1985 sur l'aménagement du territoire et les constructions [LATC; RSV 700.11]), peut statuer au sujet de constructions et d'installations situées hors de la zone à bâtir (cf. notamment art. 121 let. a LATC). La compétence ratione materiae du DTE n'est donc, quoi qu'il en soit, pas douteuse. C'est une autre question de savoir si un ordre de cessation d'activités et de remise en état peut être fondé, en l'espèce, sur la législation sur l'aménagement du territoire et non pas sur la LCar. Cette question, de fond et non pas de compétence, sera examinée plus bas.</w:t>
      </w:r>
    </w:p>
    <w:p>
      <w:r>
        <w:rPr>
          <w:b/>
        </w:rPr>
        <w:t>E. 3</w:t>
      </w:r>
    </w:p>
    <w:p>
      <w:r>
        <w:t>, qu'il faut renoncer à organiser la phase de remise en état de manière à limiter les nuisances, à l'instar de ce que l'exploitant et l'autorité compétente doivent prévoir lorsqu'il y a étude d'impact. Les délais fixés dans la décision attaquée pour la remise en état sont relativement longs (une année pour les déchets minéraux de chantier, quatre ans pour les autres matériaux). On ne saurait cependant s'abstenir, au moment de fixer le programme de remise en état, d'effectuer une évaluation des nuisances du trafic des camions, à l'instar de ce que l'on prévoit lors de l'ouverture d'une nouvelle gravière (voir notamment l'arrêt du TF concernant la gravière des Ursins, 1C_414/2013 du 30 avril 2014, consid. 7). Les endroits où les matériaux seront déplacés pour être traités devraient être connus. En fonction des nuisances prévisibles, il faudrait éventuellement examiner si  l'autorisation de traiter sur place une partie des déchets de chantier et du tout-venant, avant l'évacuation, serait de nature à réduire significativement le nombre de mouvements de camions (parce que les matériaux à transporter, après concassage, sont plus denses ou moins volumineux) et si cet élément mérite d'être pris en considération dans l'appréciation globale, au regard du principe de la limitation préventive des émissions (art. 11 al. 2 LPE). e) La décision attaquée n'examine aucun de ces points. Elle ne règle pas l'organisation ni la limitation du trafic de camions, même si elle paraît confier à la DGE-GEODE la tâche de définir ultérieurement des modalités de mise en œuvre de la décision de principe (let. B ch. 1 in fine du dispositif). Or il s'agit de questions essentielles, qui doivent être résolues d'emblée, dans la décision ordonnant la remise en état. La situation de l'ancienne gravière de Borire est très particulière: des activités de traitement de matériaux ont été tolérées en zone agricole durant de nombreuses années – tant qu'il était question d'une régularisation – ou même, s'agissant du recyclage de matériaux de démolition, autorisées expressément par le département cantonal; le résultat est qu'avec de très importantes quantités de matériaux sur place, la remise en état est une opération complexe, qui doit en tant que telle faire l'objet d'une procédure complète et coordonnée, pour garantir une bonne application des prescriptions sur la protection de l'environnement au sens large (cf. art. 3 et 4 OEIE). A cet effet, la collaboration de l'entreprise Le Coultre SA est essentielle. Celle-ci ne peut pas être tenue d'établir un véritable rapport d'impact, au sens de l'art. 10b LPE, puisque la remise en é tat n'est pas soumise à EIE. Néanmoins, comme ces travaux découlent en définitive des obligations fixées initialement aux exploitants de la gravière, cette entreprise devra fournir une étude de trafic, en fonction de différentes hypothèses, qui permettra au département cantonal de fixer des modalités de remise en état dans le respect des prescriptions sur la protection de l'environnement. Elle devra aussi présenter une analyse détaillée de l'état du site de reproduction des batraciens et des mesures à prendre pour la préservation de ce biotope d'importance nationale. En définitive, vu l'importance des travaux de remise en état, il incombe au département cantonal de rendre à ce stade une nouvelle décision, contenant les éléments mentionnés ci-dessus. Le principe même de la remise en état, ou en d'autres termes l'application de l'art. 105 LATC pour obtenir la suppression des installations de traitement des matériaux et des tas de matériaux présents sur le site, ne sauraient être contestés. Dans cette mesure, la décision attaquée n'est pas critiquable et elle peut être confirmée. Seules les modalités doivent encore être fixées, de manière précise et coordonnée, par le département cantonal, dans une décision qui tienne compte à la fois des aspects d'aménagement du territoire (dans la compétence du SDT) et des exigences concernant le traitement des matériaux encore sur le site (dans la compétence de la DGE). Il faut dès lors confirmer le principe de la remise en état du site, mais annuler pour le reste la décision attaquée et renvoyer l'affaire au DTE pour nouvelle décision sur les modalités de la remise en état de l'ancienne gravière.</w:t>
      </w:r>
    </w:p>
    <w:p>
      <w:r>
        <w:rPr>
          <w:b/>
        </w:rPr>
        <w:t>E. 4</w:t>
      </w:r>
    </w:p>
    <w:p>
      <w:r>
        <w:t>Dans son recours, le Club cynologique de Gimel invoque le principe de la proportionnalité ainsi que le principe "de situation acquise". Il prétend que ses installations pourraient être autorisées en zone agricole, en vertu d'une dérogation fondée sur l'art. 24e LAT. Il fait aussi valoir que son activité, marginale et non lucrative, ne peut pas être comparée à l'activité économique de Le Coultre SA. a) Il convient de relever d'abord que l'emplacement des installations du Club cynologique se trouve dans le périmètre de l'ancienne gravière classé en zone agricole par le plan général d'affectation de la commune. Ce terrain ne fait pas partie de l'aire forestière. En effet, le Département du territoire et de l'environnement, qui est aussi compétent pour l'application de la législation forestière (par la division forêt de la Direction des ressources et du patrimoine naturels de la DGE), a retenu que la limite de la forêt passait au-delà de l'emplacement de ces installations. Il n'y a aucun motif de mettre en doute cela, notamment sur la base de ce qui a pu être observé lors de l'inspection locale. Il ne se justifie pas de requérir, à ce stade, une constatation formelle du tracé de la lisière ni de compléter l'instruction d'une autre manière à propos de l'étendue de la forêt voisine. b) La décision attaquée retient que les activités consistant à dresser ou entraîner des chiens ne sont pas des activités agricoles, et partant que les constructions et installations du Club cynologique ne sont pas conformes à la destination de la zone agricole (cf. art. 16a LAT). Cette conclusion est évidente et le SDT pouvait l'affirmer sans motivation plus développée. La décision attaquée exclut également l'octroi, a posteriori , d'une autorisation fondée sur les art. 24 ss LAT, dispositions qui permettent certaines exceptions hors de la zone à bâtir. L'association recourante invoque à ce propos l'art. 24e LAT, intitulé " détention d'animaux à titre de loisir ". Le SDT a écarté cette possibilité avec une motivation très brève, mais qui était toutefois suffisante pour permettre au recourant de comprendre la portée de la décision et de l'attaquer en connaissance de cause. Quoi qu'il en soit, l'exception de l'art. 24e LAT n'entre manifestement pas en considération, car elle vise essentiellement des travaux de transformation de bâtiments existants inhabités, et non pas la construction d'un nouveau bâtiment, comme la cabane du club (cf. art. 24e al. 1 LAT). En outre, le club ne détient pas des animaux sur le site de Borire, les chiens n'y étant amenés qu'occasionnellement par leurs propriétaires. L'art. 24e LAT a été introduit dans la loi, en 2014, surtout pour permettre la création d'écuries réservées aux chevaux de sport ou de loisirs (cf. Message du Conseil fédéral in FF 2012 6115); les installations litigieuses ne sont en rien comparables à cela. Il s'ensuit qu'une régularisation de la cabane et des autres installations du Club cynologique, par l'octroi d'une autorisation de construire, n'entre pas en considération actuellement. Au demeurant, l'octroi d'une dérogation selon les art. 24ss LAT ne serait pas davantage admissible si le terrain faisait partie de l'aire forestière. c) Il s'ensuit que le département cantonal devait se prononcer sur la remise en état des lieux, en application de l'art. 105 LATC et en tenant compte du principe de la proportionnalité (cf. supra, consid. 3b-c). La garantie ou la protection de la situation acquise ( Besitzstandsgarantie ) ne peut pas être invoquée avec succès par l'association recourante. Cette garantie commande en effet que de nouvelles dispositions restrictives ne puissent être appliquées à des constructions autorisées conformément à l'ancien droit que si un intérêt public important l'exige et si le principe de la proportionnalité est respecté (ATF 113 Ia 119 consid. 2a). Or, en l'espèce, ni la cabane, ni les autres installations du club n'ont été valablement autorisées. L'entrée en vigueur du PGA en juin 2000 n'a pas véritablement modifié la situation juridique, car en 1988 et en 1997 déjà, la construction d'une cabane en zone sans affectation spéciale n'était pas admissible sans autorisation cantonale spéciale (cf. art. 81 al. 1 et art. 120 al. 1 let. a LATC). Une simple "tolérance" de la municipalité n'équivaut donc pas à une autorisation de construire. Selon la jurisprudence du Tribunal fédéral, la compétence d'exiger la démolition d'une installation pour rétablir une situation conforme au droit est soumise en principe à un délai de péremption de 30 ans; exceptionnellement, l'autorité peut en être déchue avant l'écoulement du délai de 30 ans lorsque le principe de la bonne foi le commande (ATF 136 II 359 consid.8; TF 1C_139/2014 du 17 mars 2015 consid. 5.1; 1C_318/2013 du 10 décembre 2013 consid. 4.1). Ainsi,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elles pourraient, en vertu du principe de la bonne foi, être déchues du droit d'en exiger la démolition, avant même l'expiration du délai de 30 ans (ATF 136 II 359 consid. 7 et 7.1). Cependant, seul celui qui a agi de bonne foi peut se prévaloir d'un délai plus court que celui de 30 ans (TF 1C_342/2014 du 23 mars 2015 consid. 5.4; ATF 132 II 21 consid. 6.3). Le délai de péremption commence à courir seulement dès l'achèvement du bâtiment ou des parties litigieuses de celui-ci (ATF 136 II 359 consid. 8.3; 107 Ia 121 consid. 1b; voir aussi TF 1C_318/2013 du 10 décembre 2013 consid. 4.3). Les installations actuelles du Club cynologique de Gimel, soit la cabane et les autres éléments posés sur le sol, datent de moins de 30 ans (1997 pour la cabane). Il ne ressort pas du dossier que le département cantonal en charge de l'aménagement du territoire aurait toléré ces installations dans la zone agricole, ni même qu'il aurait connu leur existence. Situées dans le périmètre d'une ancienne gravière et en lisière de forêt, elles sont du reste peu visibles et rien n'indique que les activités du club à cet endroit étaient largement connues. Dans ces conditions, le Département du territoire et de l'environnement n'était pas, en janvier 2015, déchu du droit d'ordonner la remise en état. d) Cela étant, il faut tenir compte du fait que le Club cynologique s'est installé sur le site de l'ancienne gravière de Borire parce que l'entreprise Le Coultre avait admis ce type d'activité, à côté de ses propres activités de traitement de matériaux. Si les modalités de cessation d'activités et de remise en état doivent être revues par le Département cantonal, pour le traitement des matériaux, il se justifie, pour des motifs de proportionnalité et d'égalité de traitement, de charger également le Département cantonal de réexaminer la situation du Club cynologique. Comme plusieurs années seront nécessaires pour les travaux de remise en état imposés à Le Coultre SA – c'est déjà ce qui est prévu dans la décision attaquée –, il incombera au Département cantonal de se prononcer plus précisément sur l'intérêt public à imposer une cessation immédiate des activités du Club cynologique, et un démantèlement de la cabane et des autres installations dans un délai relativement bref (six mois, selon la décision attaquée). En d'autres termes, le principe de la remise en état du site vaut également pour le terrain occupé par le Club cynologique, et la décision attaquée doit être confirmée en tant qu'elle fixe ce principe; en revanche, les modalités de remise en état devront être redéfinies dans une nouvelle décision (cf. supra, consid. 3e in fine).</w:t>
      </w:r>
    </w:p>
    <w:p>
      <w:r>
        <w:rPr>
          <w:b/>
        </w:rPr>
        <w:t>E. 5</w:t>
      </w:r>
    </w:p>
    <w:p>
      <w:r>
        <w:t>Les recours doivent ainsi être partiellement admis et la décision attaquée annulée, en ce sens que si l'ordre de remise en état du site est confirmé, la cause doit être renvoyée à l'autorité intimée pour qu'elle examine les modalités de cette remise en état et rende une nouvelle décision, dans le sens des considérants précédents. Il conviendra que cette nouvelle décision soit rendue à bref délai; aussi le rapport que Le Coultre SA doit fournir sera-t-il établi sans retard. Il y a lieu de préciser que, comme le principe de la remise en état est confirmé, il ne serait pas admissible de développer de nouvelles activités sur le site de l'ancienne gravière, ni d'y amener de nouveaux matériaux à traiter sur place (tout-venant ou matériaux issus de démolitions). Les modalités qui devront être définies dans la nouvelle décision du Département cantonal concernent exclusivement le traitement et l'évacuation des matériaux actuellement entreposés sur le site. Les recourants, qui n'obtiennent pas entièrement gain de cause, devront payer un émolument judiciaire réduit (cf. art. 49 LPA-VD). Ils ont droit à des dépens réduits, mis à la charge de l'Etat de Vaud (par le Département du territoire et de l'environnement, Service du développement territorial). Vu le sort des recours, la Commune de Saubraz n'a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