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AC.2014.0419 vom 10. Juli 2015</w:t>
      </w:r>
    </w:p>
    <w:p>
      <w:r>
        <w:t>VD Tribunal cantonal, 2015-07-10, FR</w:t>
      </w:r>
    </w:p>
    <w:p>
      <w:r>
        <w:rPr>
          <w:b/>
        </w:rPr>
        <w:t xml:space="preserve">Quelle: </w:t>
      </w:r>
      <w:r>
        <w:t>https://mcp.opencaselaw.ch/entscheid/vd_omni_AC.2014.0419</w:t>
      </w:r>
    </w:p>
    <w:p>
      <w:r>
        <w:t>FR: VD_OMNI AC.2014.0419 du 10 juillet 2015</w:t>
      </w:r>
    </w:p>
    <w:p>
      <w:r>
        <w:t>IT: VD_OMNI AC.2014.0419 del 10 luglio 2015</w:t>
      </w:r>
    </w:p>
    <w:p>
      <w:pPr>
        <w:pStyle w:val="Heading2"/>
      </w:pPr>
      <w:r>
        <w:t>Regeste</w:t>
      </w:r>
    </w:p>
    <w:p>
      <w:r>
        <w:t>ATKINSON/Municipalité d'Aubonne, STURZENEGGER | Projet de construction d'un abri de jardin d'environ 22 m2. La violation du droit d'être entendu, la décision levant l'opposition des recourants n'étant pas motivée, a été réparée en cours de procédure devant la CDAP (consid. 2). La construction litigieuse peut être considérée comme "de minime importance" et ainsi échapper à l'obligation de signature des plans d'enquête par un architecte ou un ingénieur (art. 106 LATC; consid. 3). En outre, ouverte sur un côté, elle ne sert pas à l'habitation et, située en contrebas de la parcelle des recourants, ouverte sur le côté opposé et partiellement masquée par un mur de soutènement, elle n'entraînera pas d'inconvénients appréciables pour les recourants; en tant que dépendance de minime importance, elle peut ainsi être construite dans les espaces réglementaires (consid. 4). Recours rejeté.</w:t>
      </w:r>
    </w:p>
    <w:p>
      <w:pPr>
        <w:pStyle w:val="Heading2"/>
      </w:pPr>
      <w:r>
        <w:t>Erwägungen</w:t>
      </w:r>
    </w:p>
    <w:p>
      <w:r>
        <w:rPr>
          <w:b/>
        </w:rPr>
        <w:t>E. 1</w:t>
      </w:r>
    </w:p>
    <w:p>
      <w:r>
        <w:t>Les recourants ont sollicité la tenue d'une audience de jugement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recourants et l'autorité intimée ainsi que les plans soumis à l'enquête publique, rendant superflue la tenue d'une inspection locale. Pour le reste, les recourants ont pu faire valoir leurs arguments lors de l'échange d'écritures intervenu dans la présente procédure. Il y a dès lors lieu de rejeter leur requête tendant à la tenue d'une audience avec inspection locale.</w:t>
      </w:r>
    </w:p>
    <w:p>
      <w:r>
        <w:rPr>
          <w:b/>
        </w:rPr>
        <w:t>E. 2</w:t>
      </w:r>
    </w:p>
    <w:p>
      <w:r>
        <w:t>Les recourants font en premier lieu valoir une violation du droit d'être entendu, la décision querellée ne répondant pas à l'exigence de motivation. a) Tel qu’il est garanti par l’art. 29 al. 2 Cst ainsi que par l'art. 27 al. 2 Cst.-VD,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Elle n'a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Le caractère formel du droit d'être entendu a pour conséquence que sa violation entraîne en principe l'annulation de la décision attaquée, quel que soit son sort au fond (ATF 137 I 195 consid. 2.2 p. 197; 136 V 117 consid. 4.2.2.2 p. 126/127; 135 I 279 consid. 2.6.1 p. 285,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arrêt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p. 72; 126 V 130 consid. 2b; 124 V 180 consid. 4b p. 183 s. et les arrêts cités). Elle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arrêts AC.2011.0170 du 31 août 2011 consid. 2b; GE.2011.0136 précité; GE.2012.0124 du 15 novembre 2012). En procédure administrative vaudoise, l'art. 42 let. c LPA-VD prévoit qu'une décision doit indiquer les faits, les règles juridiques et les motifs sur lesquels elle s'appuie. La jurisprudence cantonale a ainsi déjà considéré à maintes reprises qu'il n'appartient pas au tribunal de reconstituer, comme s'il était l'instance précédente, l'état de fait ou la motivation qu'aurait dû comporter la décision attaquée (arrêts AC.2011.0170 précité; AC.2010.0239 du 13 mai 2011; PE.2009.0010 du 1 er mai 2009; BO.2008.0060 du 31 octobre 2008; AC.2008.0083 du 28 juin 2008 et les arrêts cités). On rappellera d'ailleurs que le législateur a insisté sur la nécessité d'une motivation en refusant le projet du Conseil d'Etat qui prévoyait, dans certains cas, de dispenser l'autorité de motiver ses décisions (Rapport de majorité de la Commission thématique des affaires judiciaires du Grand Conseil chargée d'examiner l'exposé des motifs et projet de loi sur la procédure administrative, RC-81 [maj.], septembre 2008, ad art. 44 du projet). L'art. 43 al. 2 LPA-VD permet à l'autorité de se limiter à une motivation sommaire, mais seulement pour le cas d'urgence. Quant à la motivation " sommaire et standardisée " (art. 43 al. 3 LPA-VD), elle n'est autorisée que lorsqu'un grand nombre de décisions de même type sont rendues et qu'elles peuvent faire l'objet d'une réclamation. b) En l'espèce, il est vrai que la décision attaquée, levant l'opposition des recourants, ne comporte aucune motivation. L'autorité intimée a cependant explicité ses motifs au cours de la procédure, permettant ainsi au recourant de faire valoir ses moyens en toute connaissance de cause. Cette violation regrettable du droit d'être entendu a toutefois pu être réparée au cours de la procédure devant le tribunal de céans, l'autorité intimée ayant produit une réponse motivée. Au demeurant, les recourants ne prétendent pas que l'absence d'indication des dispositions légales appliquées par l'autorité intimée leur aurait porté préjudice. Ce grief doit partant être rejeté.</w:t>
      </w:r>
    </w:p>
    <w:p>
      <w:r>
        <w:rPr>
          <w:b/>
        </w:rPr>
        <w:t>E. 3</w:t>
      </w:r>
    </w:p>
    <w:p>
      <w:r>
        <w:t>les coupes nécessaires à la compréhension du projet comprenant les profils du terrain naturel et aménagé;</w:t>
      </w:r>
    </w:p>
    <w:p>
      <w:r>
        <w:rPr>
          <w:b/>
        </w:rPr>
        <w:t>E. 4</w:t>
      </w:r>
    </w:p>
    <w:p>
      <w:r>
        <w:t>les dessins de toutes les façades;</w:t>
      </w:r>
    </w:p>
    <w:p>
      <w:r>
        <w:rPr>
          <w:b/>
        </w:rPr>
        <w:t>E. 5</w:t>
      </w:r>
    </w:p>
    <w:p>
      <w:r>
        <w:t>Il résulte de ce qui précède que le recours doit être rejeté et la décision attaquée, confirmée. Succombant, les recourants supportent les frais de justice ainsi que des dépens en faveur de l'autorité intimée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